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81D43" w14:textId="77777777" w:rsidR="006F20A9" w:rsidRPr="005C6DD4" w:rsidRDefault="006F20A9" w:rsidP="005C6DD4">
      <w:pPr>
        <w:pStyle w:val="Heading1"/>
        <w:rPr>
          <w:rFonts w:eastAsia="Times New Roman"/>
          <w:b/>
          <w:sz w:val="24"/>
          <w:szCs w:val="24"/>
          <w:lang w:eastAsia="en-IE"/>
        </w:rPr>
      </w:pPr>
      <w:r w:rsidRPr="005C6DD4">
        <w:rPr>
          <w:rFonts w:eastAsia="Times New Roman"/>
          <w:b/>
          <w:lang w:eastAsia="en-IE"/>
        </w:rPr>
        <w:t>What you need to know if you transport fuel in a ‘bowser’ on Irish roads</w:t>
      </w:r>
    </w:p>
    <w:p w14:paraId="41EE1EF5" w14:textId="77777777" w:rsidR="005C6DD4" w:rsidRDefault="005C6DD4" w:rsidP="00BB5BDB">
      <w:pPr>
        <w:keepNext/>
        <w:keepLines/>
        <w:tabs>
          <w:tab w:val="left" w:pos="-720"/>
          <w:tab w:val="left" w:pos="-324"/>
          <w:tab w:val="left" w:pos="1985"/>
          <w:tab w:val="left" w:pos="2552"/>
          <w:tab w:val="left" w:pos="311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120"/>
        <w:mirrorIndents/>
        <w:jc w:val="both"/>
        <w:rPr>
          <w:rFonts w:eastAsia="Times New Roman" w:cstheme="minorHAnsi"/>
          <w:sz w:val="24"/>
          <w:szCs w:val="24"/>
          <w:lang w:eastAsia="en-IE"/>
        </w:rPr>
      </w:pPr>
    </w:p>
    <w:p w14:paraId="5F979CCD" w14:textId="3B0ECD7E" w:rsidR="00116FFB" w:rsidRPr="005C6DD4" w:rsidRDefault="00177473" w:rsidP="00BB5BDB">
      <w:pPr>
        <w:keepNext/>
        <w:keepLines/>
        <w:tabs>
          <w:tab w:val="left" w:pos="-720"/>
          <w:tab w:val="left" w:pos="-324"/>
          <w:tab w:val="left" w:pos="1985"/>
          <w:tab w:val="left" w:pos="2552"/>
          <w:tab w:val="left" w:pos="311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120"/>
        <w:mirrorIndents/>
        <w:jc w:val="both"/>
        <w:rPr>
          <w:color w:val="000000"/>
          <w:sz w:val="24"/>
          <w:szCs w:val="24"/>
        </w:rPr>
      </w:pPr>
      <w:r w:rsidRPr="00942E59">
        <w:rPr>
          <w:rFonts w:eastAsia="Times New Roman" w:cstheme="minorHAnsi"/>
          <w:sz w:val="24"/>
          <w:szCs w:val="24"/>
          <w:lang w:eastAsia="en-IE"/>
        </w:rPr>
        <w:t>‘</w:t>
      </w:r>
      <w:r w:rsidRPr="00942E59">
        <w:rPr>
          <w:rFonts w:eastAsia="Times New Roman" w:cstheme="minorHAnsi"/>
          <w:b/>
          <w:sz w:val="24"/>
          <w:szCs w:val="24"/>
          <w:lang w:eastAsia="en-IE"/>
        </w:rPr>
        <w:t>Bowser’</w:t>
      </w:r>
      <w:r w:rsidRPr="00942E59">
        <w:rPr>
          <w:rFonts w:eastAsia="Times New Roman" w:cstheme="minorHAnsi"/>
          <w:sz w:val="24"/>
          <w:szCs w:val="24"/>
          <w:lang w:eastAsia="en-IE"/>
        </w:rPr>
        <w:t xml:space="preserve"> is a term frequently used by the manufacturers and suppliers of intermediate bulk containers (IBCs) or tanks</w:t>
      </w:r>
      <w:r w:rsidR="00583880" w:rsidRPr="00942E59">
        <w:rPr>
          <w:rFonts w:eastAsia="Times New Roman" w:cstheme="minorHAnsi"/>
          <w:sz w:val="24"/>
          <w:szCs w:val="24"/>
          <w:lang w:eastAsia="en-IE"/>
        </w:rPr>
        <w:t xml:space="preserve"> fitted to a wheeled trailer for </w:t>
      </w:r>
      <w:r w:rsidRPr="00942E59">
        <w:rPr>
          <w:rFonts w:eastAsia="Times New Roman" w:cstheme="minorHAnsi"/>
          <w:sz w:val="24"/>
          <w:szCs w:val="24"/>
          <w:lang w:eastAsia="en-IE"/>
        </w:rPr>
        <w:t>carr</w:t>
      </w:r>
      <w:r w:rsidR="000B2F39">
        <w:rPr>
          <w:rFonts w:eastAsia="Times New Roman" w:cstheme="minorHAnsi"/>
          <w:sz w:val="24"/>
          <w:szCs w:val="24"/>
          <w:lang w:eastAsia="en-IE"/>
        </w:rPr>
        <w:t>ying</w:t>
      </w:r>
      <w:r w:rsidRPr="00942E59">
        <w:rPr>
          <w:rFonts w:eastAsia="Times New Roman" w:cstheme="minorHAnsi"/>
          <w:sz w:val="24"/>
          <w:szCs w:val="24"/>
          <w:lang w:eastAsia="en-IE"/>
        </w:rPr>
        <w:t xml:space="preserve"> various fuels, i</w:t>
      </w:r>
      <w:r w:rsidR="00D91F10">
        <w:rPr>
          <w:rFonts w:eastAsia="Times New Roman" w:cstheme="minorHAnsi"/>
          <w:sz w:val="24"/>
          <w:szCs w:val="24"/>
          <w:lang w:eastAsia="en-IE"/>
        </w:rPr>
        <w:t>ncluding diesel or gas oil (UN 1202)</w:t>
      </w:r>
      <w:r w:rsidR="007610D9">
        <w:rPr>
          <w:rFonts w:eastAsia="Times New Roman" w:cstheme="minorHAnsi"/>
          <w:sz w:val="24"/>
          <w:szCs w:val="24"/>
          <w:lang w:eastAsia="en-IE"/>
        </w:rPr>
        <w:t>, kerosene (UN 1223)</w:t>
      </w:r>
      <w:r w:rsidR="00D91F10">
        <w:rPr>
          <w:rFonts w:eastAsia="Times New Roman" w:cstheme="minorHAnsi"/>
          <w:sz w:val="24"/>
          <w:szCs w:val="24"/>
          <w:lang w:eastAsia="en-IE"/>
        </w:rPr>
        <w:t xml:space="preserve"> or petrol (UN </w:t>
      </w:r>
      <w:r w:rsidRPr="00942E59">
        <w:rPr>
          <w:rFonts w:eastAsia="Times New Roman" w:cstheme="minorHAnsi"/>
          <w:sz w:val="24"/>
          <w:szCs w:val="24"/>
          <w:lang w:eastAsia="en-IE"/>
        </w:rPr>
        <w:t>1203).</w:t>
      </w:r>
      <w:r w:rsidR="004975EB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="00B70788">
        <w:rPr>
          <w:rFonts w:eastAsia="Times New Roman" w:cstheme="minorHAnsi"/>
          <w:sz w:val="24"/>
          <w:szCs w:val="24"/>
          <w:lang w:eastAsia="en-IE"/>
        </w:rPr>
        <w:t>‘Bowsers’ are used in construction, agriculture, forestry operations and at aerodromes for the refuelling of machinery and aircraft.</w:t>
      </w:r>
    </w:p>
    <w:p w14:paraId="19842622" w14:textId="63E188BF" w:rsidR="00DA1BED" w:rsidRDefault="00B70788" w:rsidP="00BB5BDB">
      <w:pPr>
        <w:keepNext/>
        <w:keepLines/>
        <w:tabs>
          <w:tab w:val="left" w:pos="-720"/>
          <w:tab w:val="left" w:pos="-324"/>
          <w:tab w:val="left" w:pos="1985"/>
          <w:tab w:val="left" w:pos="2552"/>
          <w:tab w:val="left" w:pos="311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120"/>
        <w:mirrorIndents/>
        <w:jc w:val="both"/>
        <w:rPr>
          <w:rFonts w:eastAsia="Times New Roman" w:cstheme="minorHAnsi"/>
          <w:sz w:val="24"/>
          <w:szCs w:val="24"/>
          <w:lang w:eastAsia="en-IE"/>
        </w:rPr>
      </w:pPr>
      <w:r w:rsidRPr="00942E59" w:rsidDel="000B2F39">
        <w:rPr>
          <w:color w:val="000000"/>
          <w:sz w:val="24"/>
          <w:szCs w:val="24"/>
        </w:rPr>
        <w:t xml:space="preserve">The term ‘bowser’ is not used </w:t>
      </w:r>
      <w:r>
        <w:rPr>
          <w:color w:val="000000"/>
          <w:sz w:val="24"/>
          <w:szCs w:val="24"/>
        </w:rPr>
        <w:t xml:space="preserve">or defined </w:t>
      </w:r>
      <w:r w:rsidRPr="00942E59" w:rsidDel="000B2F39">
        <w:rPr>
          <w:color w:val="000000"/>
          <w:sz w:val="24"/>
          <w:szCs w:val="24"/>
        </w:rPr>
        <w:t xml:space="preserve">in </w:t>
      </w:r>
      <w:r w:rsidR="003C2FC3">
        <w:rPr>
          <w:color w:val="000000"/>
          <w:sz w:val="24"/>
          <w:szCs w:val="24"/>
        </w:rPr>
        <w:t>ADR</w:t>
      </w:r>
      <w:r w:rsidR="00C925F9">
        <w:rPr>
          <w:color w:val="000000"/>
          <w:sz w:val="24"/>
          <w:szCs w:val="24"/>
        </w:rPr>
        <w:t>,</w:t>
      </w:r>
      <w:r w:rsidRPr="00942E59" w:rsidDel="000B2F39">
        <w:rPr>
          <w:color w:val="000000"/>
          <w:sz w:val="24"/>
          <w:szCs w:val="24"/>
        </w:rPr>
        <w:t xml:space="preserve"> </w:t>
      </w:r>
      <w:r w:rsidR="000B2F39">
        <w:rPr>
          <w:color w:val="000000"/>
          <w:sz w:val="24"/>
          <w:szCs w:val="24"/>
        </w:rPr>
        <w:t>but</w:t>
      </w:r>
      <w:r w:rsidR="00116FFB" w:rsidRPr="00942E59">
        <w:rPr>
          <w:color w:val="000000"/>
          <w:sz w:val="24"/>
          <w:szCs w:val="24"/>
        </w:rPr>
        <w:t xml:space="preserve"> ADR</w:t>
      </w:r>
      <w:r w:rsidR="007610D9" w:rsidRPr="00942E59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="000B2F39">
        <w:rPr>
          <w:color w:val="000000"/>
          <w:sz w:val="24"/>
          <w:szCs w:val="24"/>
        </w:rPr>
        <w:t xml:space="preserve">does </w:t>
      </w:r>
      <w:r w:rsidR="00116FFB" w:rsidRPr="00942E59">
        <w:rPr>
          <w:color w:val="000000"/>
          <w:sz w:val="24"/>
          <w:szCs w:val="24"/>
        </w:rPr>
        <w:t>provide for the carriage of petrol, diesel and other fuels such a</w:t>
      </w:r>
      <w:r w:rsidR="008F05BF" w:rsidRPr="00942E59">
        <w:rPr>
          <w:color w:val="000000"/>
          <w:sz w:val="24"/>
          <w:szCs w:val="24"/>
        </w:rPr>
        <w:t>s</w:t>
      </w:r>
      <w:r w:rsidR="00116FFB" w:rsidRPr="00942E59">
        <w:rPr>
          <w:color w:val="000000"/>
          <w:sz w:val="24"/>
          <w:szCs w:val="24"/>
        </w:rPr>
        <w:t xml:space="preserve"> kerosene and aviation fuel in </w:t>
      </w:r>
      <w:hyperlink w:anchor="IBC" w:history="1">
        <w:r w:rsidR="00116FFB" w:rsidRPr="00D84EF7">
          <w:rPr>
            <w:rStyle w:val="Hyperlink"/>
            <w:sz w:val="24"/>
            <w:szCs w:val="24"/>
          </w:rPr>
          <w:t>IBCs</w:t>
        </w:r>
      </w:hyperlink>
      <w:r w:rsidR="00116FFB" w:rsidRPr="00942E59">
        <w:rPr>
          <w:color w:val="000000"/>
          <w:sz w:val="24"/>
          <w:szCs w:val="24"/>
        </w:rPr>
        <w:t xml:space="preserve"> and </w:t>
      </w:r>
      <w:hyperlink w:anchor="Tank" w:history="1">
        <w:r w:rsidR="00116FFB" w:rsidRPr="00F31E01">
          <w:rPr>
            <w:rStyle w:val="Hyperlink"/>
            <w:sz w:val="24"/>
            <w:szCs w:val="24"/>
          </w:rPr>
          <w:t>ta</w:t>
        </w:r>
        <w:r w:rsidR="00116FFB" w:rsidRPr="00F31E01">
          <w:rPr>
            <w:rStyle w:val="Hyperlink"/>
            <w:sz w:val="24"/>
            <w:szCs w:val="24"/>
          </w:rPr>
          <w:t>n</w:t>
        </w:r>
        <w:r w:rsidR="00116FFB" w:rsidRPr="00F31E01">
          <w:rPr>
            <w:rStyle w:val="Hyperlink"/>
            <w:sz w:val="24"/>
            <w:szCs w:val="24"/>
          </w:rPr>
          <w:t>ks</w:t>
        </w:r>
      </w:hyperlink>
      <w:r w:rsidR="00116FFB" w:rsidRPr="00942E59">
        <w:rPr>
          <w:color w:val="000000"/>
          <w:sz w:val="24"/>
          <w:szCs w:val="24"/>
        </w:rPr>
        <w:t xml:space="preserve">. </w:t>
      </w:r>
      <w:r w:rsidR="00C925F9">
        <w:rPr>
          <w:color w:val="000000"/>
          <w:sz w:val="24"/>
          <w:szCs w:val="24"/>
        </w:rPr>
        <w:t xml:space="preserve"> </w:t>
      </w:r>
      <w:r w:rsidR="00BE3BDA">
        <w:rPr>
          <w:color w:val="000000"/>
          <w:sz w:val="24"/>
          <w:szCs w:val="24"/>
        </w:rPr>
        <w:t xml:space="preserve">There </w:t>
      </w:r>
      <w:r w:rsidR="00583880" w:rsidRPr="00942E59">
        <w:rPr>
          <w:rFonts w:eastAsia="Times New Roman" w:cstheme="minorHAnsi"/>
          <w:sz w:val="24"/>
          <w:szCs w:val="24"/>
          <w:lang w:eastAsia="en-IE"/>
        </w:rPr>
        <w:t xml:space="preserve">is often a requirement to carry the fuel in such means of containment on </w:t>
      </w:r>
      <w:r w:rsidR="00BE3BDA">
        <w:rPr>
          <w:rFonts w:eastAsia="Times New Roman" w:cstheme="minorHAnsi"/>
          <w:sz w:val="24"/>
          <w:szCs w:val="24"/>
          <w:lang w:eastAsia="en-IE"/>
        </w:rPr>
        <w:t>a</w:t>
      </w:r>
      <w:r w:rsidR="00BE3BDA" w:rsidRPr="00942E59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="00583880" w:rsidRPr="00942E59">
        <w:rPr>
          <w:rFonts w:eastAsia="Times New Roman" w:cstheme="minorHAnsi"/>
          <w:sz w:val="24"/>
          <w:szCs w:val="24"/>
          <w:lang w:eastAsia="en-IE"/>
        </w:rPr>
        <w:t xml:space="preserve">public road, and </w:t>
      </w:r>
      <w:r w:rsidR="004A0B76">
        <w:rPr>
          <w:rFonts w:eastAsia="Times New Roman" w:cstheme="minorHAnsi"/>
          <w:sz w:val="24"/>
          <w:szCs w:val="24"/>
          <w:lang w:eastAsia="en-IE"/>
        </w:rPr>
        <w:t>this</w:t>
      </w:r>
      <w:r w:rsidR="00583880" w:rsidRPr="00942E59">
        <w:rPr>
          <w:rFonts w:eastAsia="Times New Roman" w:cstheme="minorHAnsi"/>
          <w:sz w:val="24"/>
          <w:szCs w:val="24"/>
          <w:lang w:eastAsia="en-IE"/>
        </w:rPr>
        <w:t xml:space="preserve"> carriage must therefore meet the </w:t>
      </w:r>
      <w:r w:rsidR="00B05FC6" w:rsidRPr="00942E59">
        <w:rPr>
          <w:rFonts w:eastAsia="Times New Roman" w:cstheme="minorHAnsi"/>
          <w:sz w:val="24"/>
          <w:szCs w:val="24"/>
          <w:lang w:eastAsia="en-IE"/>
        </w:rPr>
        <w:t xml:space="preserve">relevant </w:t>
      </w:r>
      <w:r w:rsidR="00583880" w:rsidRPr="00942E59">
        <w:rPr>
          <w:rFonts w:eastAsia="Times New Roman" w:cstheme="minorHAnsi"/>
          <w:sz w:val="24"/>
          <w:szCs w:val="24"/>
          <w:lang w:eastAsia="en-IE"/>
        </w:rPr>
        <w:t>requirements of the ADR and our national regulations for the carriage of dangerous goods.</w:t>
      </w:r>
    </w:p>
    <w:p w14:paraId="316D3A6F" w14:textId="543BB66A" w:rsidR="006F20A9" w:rsidRDefault="00C925F9" w:rsidP="006F20A9">
      <w:pPr>
        <w:keepNext/>
        <w:keepLines/>
        <w:tabs>
          <w:tab w:val="left" w:pos="-720"/>
          <w:tab w:val="left" w:pos="-324"/>
          <w:tab w:val="left" w:pos="1985"/>
          <w:tab w:val="left" w:pos="2552"/>
          <w:tab w:val="left" w:pos="311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120"/>
        <w:mirrorIndents/>
        <w:jc w:val="both"/>
        <w:rPr>
          <w:rFonts w:eastAsia="Times New Roman" w:cstheme="minorHAnsi"/>
          <w:b/>
          <w:sz w:val="28"/>
          <w:szCs w:val="28"/>
          <w:lang w:eastAsia="en-IE"/>
        </w:rPr>
      </w:pPr>
      <w:r>
        <w:rPr>
          <w:rFonts w:eastAsia="Times New Roman" w:cstheme="minorHAnsi"/>
          <w:sz w:val="24"/>
          <w:szCs w:val="24"/>
          <w:lang w:eastAsia="en-IE"/>
        </w:rPr>
        <w:t>If in any doubt it</w:t>
      </w:r>
      <w:r w:rsidR="006F20A9" w:rsidRPr="00942E59">
        <w:rPr>
          <w:rFonts w:eastAsia="Times New Roman" w:cstheme="minorHAnsi"/>
          <w:sz w:val="24"/>
          <w:szCs w:val="24"/>
          <w:lang w:eastAsia="en-IE"/>
        </w:rPr>
        <w:t xml:space="preserve"> is </w:t>
      </w:r>
      <w:r w:rsidR="006F20A9">
        <w:rPr>
          <w:rFonts w:eastAsia="Times New Roman" w:cstheme="minorHAnsi"/>
          <w:sz w:val="24"/>
          <w:szCs w:val="24"/>
          <w:lang w:eastAsia="en-IE"/>
        </w:rPr>
        <w:t xml:space="preserve">highly </w:t>
      </w:r>
      <w:r w:rsidR="006F20A9" w:rsidRPr="00942E59">
        <w:rPr>
          <w:rFonts w:eastAsia="Times New Roman" w:cstheme="minorHAnsi"/>
          <w:sz w:val="24"/>
          <w:szCs w:val="24"/>
          <w:lang w:eastAsia="en-IE"/>
        </w:rPr>
        <w:t xml:space="preserve">recommended that you seek the services of a dangerous goods safety adviser (DGSA), as failure to meet the requirements of the ADR and our national regulations will mean that you cannot carry fuel in your </w:t>
      </w:r>
      <w:r w:rsidR="006F20A9">
        <w:rPr>
          <w:rFonts w:eastAsia="Times New Roman" w:cstheme="minorHAnsi"/>
          <w:sz w:val="24"/>
          <w:szCs w:val="24"/>
          <w:lang w:eastAsia="en-IE"/>
        </w:rPr>
        <w:t>‘</w:t>
      </w:r>
      <w:r w:rsidR="006F20A9" w:rsidRPr="00942E59">
        <w:rPr>
          <w:rFonts w:eastAsia="Times New Roman" w:cstheme="minorHAnsi"/>
          <w:sz w:val="24"/>
          <w:szCs w:val="24"/>
          <w:lang w:eastAsia="en-IE"/>
        </w:rPr>
        <w:t>bowser</w:t>
      </w:r>
      <w:r w:rsidR="006F20A9">
        <w:rPr>
          <w:rFonts w:eastAsia="Times New Roman" w:cstheme="minorHAnsi"/>
          <w:sz w:val="24"/>
          <w:szCs w:val="24"/>
          <w:lang w:eastAsia="en-IE"/>
        </w:rPr>
        <w:t>’</w:t>
      </w:r>
      <w:r w:rsidR="006F20A9" w:rsidRPr="00942E59">
        <w:rPr>
          <w:rFonts w:eastAsia="Times New Roman" w:cstheme="minorHAnsi"/>
          <w:sz w:val="24"/>
          <w:szCs w:val="24"/>
          <w:lang w:eastAsia="en-IE"/>
        </w:rPr>
        <w:t xml:space="preserve"> on public roads.</w:t>
      </w:r>
    </w:p>
    <w:p w14:paraId="45B47782" w14:textId="259C1E6D" w:rsidR="00726113" w:rsidRDefault="00B05FC6" w:rsidP="00BC2862">
      <w:pPr>
        <w:keepNext/>
        <w:keepLines/>
        <w:tabs>
          <w:tab w:val="left" w:pos="-720"/>
          <w:tab w:val="left" w:pos="-324"/>
          <w:tab w:val="left" w:pos="1985"/>
          <w:tab w:val="left" w:pos="2552"/>
          <w:tab w:val="left" w:pos="311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120"/>
        <w:mirrorIndents/>
        <w:jc w:val="both"/>
        <w:rPr>
          <w:rFonts w:eastAsia="Times New Roman" w:cstheme="minorHAnsi"/>
          <w:sz w:val="24"/>
          <w:szCs w:val="24"/>
          <w:lang w:eastAsia="en-IE"/>
        </w:rPr>
      </w:pPr>
      <w:r w:rsidRPr="00942E59">
        <w:rPr>
          <w:rFonts w:eastAsia="Times New Roman" w:cstheme="minorHAnsi"/>
          <w:sz w:val="24"/>
          <w:szCs w:val="24"/>
          <w:lang w:eastAsia="en-IE"/>
        </w:rPr>
        <w:t>The</w:t>
      </w:r>
      <w:r w:rsidR="00177473" w:rsidRPr="00942E59">
        <w:rPr>
          <w:rFonts w:eastAsia="Times New Roman" w:cstheme="minorHAnsi"/>
          <w:sz w:val="24"/>
          <w:szCs w:val="24"/>
          <w:lang w:eastAsia="en-IE"/>
        </w:rPr>
        <w:t xml:space="preserve"> checklist below has been developed to provide some guidance on what to look for when purchasing a new or second-hand </w:t>
      </w:r>
      <w:r w:rsidR="004A0B76">
        <w:rPr>
          <w:rFonts w:eastAsia="Times New Roman" w:cstheme="minorHAnsi"/>
          <w:sz w:val="24"/>
          <w:szCs w:val="24"/>
          <w:lang w:eastAsia="en-IE"/>
        </w:rPr>
        <w:t>‘</w:t>
      </w:r>
      <w:r w:rsidR="00177473" w:rsidRPr="00942E59">
        <w:rPr>
          <w:rFonts w:eastAsia="Times New Roman" w:cstheme="minorHAnsi"/>
          <w:sz w:val="24"/>
          <w:szCs w:val="24"/>
          <w:lang w:eastAsia="en-IE"/>
        </w:rPr>
        <w:t>bowser</w:t>
      </w:r>
      <w:r w:rsidR="004A0B76">
        <w:rPr>
          <w:rFonts w:eastAsia="Times New Roman" w:cstheme="minorHAnsi"/>
          <w:sz w:val="24"/>
          <w:szCs w:val="24"/>
          <w:lang w:eastAsia="en-IE"/>
        </w:rPr>
        <w:t>’</w:t>
      </w:r>
      <w:r w:rsidR="00177473" w:rsidRPr="00942E59">
        <w:rPr>
          <w:rFonts w:eastAsia="Times New Roman" w:cstheme="minorHAnsi"/>
          <w:sz w:val="24"/>
          <w:szCs w:val="24"/>
          <w:lang w:eastAsia="en-IE"/>
        </w:rPr>
        <w:t xml:space="preserve">, or for checking </w:t>
      </w:r>
      <w:r w:rsidR="00BE3BDA">
        <w:rPr>
          <w:rFonts w:eastAsia="Times New Roman" w:cstheme="minorHAnsi"/>
          <w:sz w:val="24"/>
          <w:szCs w:val="24"/>
          <w:lang w:eastAsia="en-IE"/>
        </w:rPr>
        <w:t>if</w:t>
      </w:r>
      <w:r w:rsidR="00177473" w:rsidRPr="00942E59">
        <w:rPr>
          <w:rFonts w:eastAsia="Times New Roman" w:cstheme="minorHAnsi"/>
          <w:sz w:val="24"/>
          <w:szCs w:val="24"/>
          <w:lang w:eastAsia="en-IE"/>
        </w:rPr>
        <w:t xml:space="preserve"> a </w:t>
      </w:r>
      <w:r w:rsidR="004A0B76">
        <w:rPr>
          <w:rFonts w:eastAsia="Times New Roman" w:cstheme="minorHAnsi"/>
          <w:sz w:val="24"/>
          <w:szCs w:val="24"/>
          <w:lang w:eastAsia="en-IE"/>
        </w:rPr>
        <w:t>‘</w:t>
      </w:r>
      <w:r w:rsidR="00177473" w:rsidRPr="00942E59">
        <w:rPr>
          <w:rFonts w:eastAsia="Times New Roman" w:cstheme="minorHAnsi"/>
          <w:sz w:val="24"/>
          <w:szCs w:val="24"/>
          <w:lang w:eastAsia="en-IE"/>
        </w:rPr>
        <w:t>bowser</w:t>
      </w:r>
      <w:r w:rsidR="004A0B76">
        <w:rPr>
          <w:rFonts w:eastAsia="Times New Roman" w:cstheme="minorHAnsi"/>
          <w:sz w:val="24"/>
          <w:szCs w:val="24"/>
          <w:lang w:eastAsia="en-IE"/>
        </w:rPr>
        <w:t>’</w:t>
      </w:r>
      <w:r w:rsidR="00177473" w:rsidRPr="00942E59">
        <w:rPr>
          <w:rFonts w:eastAsia="Times New Roman" w:cstheme="minorHAnsi"/>
          <w:sz w:val="24"/>
          <w:szCs w:val="24"/>
          <w:lang w:eastAsia="en-IE"/>
        </w:rPr>
        <w:t xml:space="preserve"> you currently own is compliant with the </w:t>
      </w:r>
      <w:r w:rsidR="00583880" w:rsidRPr="00942E59">
        <w:rPr>
          <w:rFonts w:eastAsia="Times New Roman" w:cstheme="minorHAnsi"/>
          <w:sz w:val="24"/>
          <w:szCs w:val="24"/>
          <w:lang w:eastAsia="en-IE"/>
        </w:rPr>
        <w:t>regulations</w:t>
      </w:r>
      <w:r w:rsidR="00177473" w:rsidRPr="00942E59">
        <w:rPr>
          <w:rFonts w:eastAsia="Times New Roman" w:cstheme="minorHAnsi"/>
          <w:sz w:val="24"/>
          <w:szCs w:val="24"/>
          <w:lang w:eastAsia="en-IE"/>
        </w:rPr>
        <w:t>.</w:t>
      </w:r>
    </w:p>
    <w:p w14:paraId="1A15428A" w14:textId="698C4809" w:rsidR="00BC2862" w:rsidRPr="00942E59" w:rsidRDefault="00BC2862" w:rsidP="00BC2862">
      <w:pPr>
        <w:keepNext/>
        <w:keepLines/>
        <w:tabs>
          <w:tab w:val="left" w:pos="-720"/>
          <w:tab w:val="left" w:pos="-324"/>
          <w:tab w:val="left" w:pos="1985"/>
          <w:tab w:val="left" w:pos="2552"/>
          <w:tab w:val="left" w:pos="311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120"/>
        <w:mirrorIndents/>
        <w:jc w:val="both"/>
        <w:rPr>
          <w:rFonts w:eastAsia="Times New Roman" w:cstheme="minorHAnsi"/>
          <w:sz w:val="24"/>
          <w:szCs w:val="24"/>
          <w:lang w:eastAsia="en-IE"/>
        </w:rPr>
      </w:pPr>
      <w:r w:rsidRPr="00942E59">
        <w:rPr>
          <w:rFonts w:eastAsia="Times New Roman" w:cstheme="minorHAnsi"/>
          <w:sz w:val="24"/>
          <w:szCs w:val="24"/>
          <w:lang w:eastAsia="en-IE"/>
        </w:rPr>
        <w:t xml:space="preserve">It is important to note that if you are carrying the fuel </w:t>
      </w:r>
      <w:r w:rsidR="00726113">
        <w:rPr>
          <w:rFonts w:eastAsia="Times New Roman" w:cstheme="minorHAnsi"/>
          <w:sz w:val="24"/>
          <w:szCs w:val="24"/>
          <w:lang w:eastAsia="en-IE"/>
        </w:rPr>
        <w:t>as follows, then</w:t>
      </w:r>
      <w:r w:rsidR="00726113" w:rsidRPr="00555017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="00726113" w:rsidRPr="00691944">
        <w:rPr>
          <w:rFonts w:eastAsia="Times New Roman" w:cstheme="minorHAnsi"/>
          <w:b/>
          <w:sz w:val="24"/>
          <w:szCs w:val="24"/>
          <w:lang w:eastAsia="en-IE"/>
        </w:rPr>
        <w:t>all</w:t>
      </w:r>
      <w:r w:rsidR="00726113" w:rsidRPr="00942E59">
        <w:rPr>
          <w:rFonts w:eastAsia="Times New Roman" w:cstheme="minorHAnsi"/>
          <w:sz w:val="24"/>
          <w:szCs w:val="24"/>
          <w:lang w:eastAsia="en-IE"/>
        </w:rPr>
        <w:t xml:space="preserve"> of the relevant provisions of the ADR apply, including the requirement for a </w:t>
      </w:r>
      <w:r w:rsidR="00726113" w:rsidRPr="00C925F9">
        <w:rPr>
          <w:rFonts w:eastAsia="Times New Roman" w:cstheme="minorHAnsi"/>
          <w:b/>
          <w:sz w:val="24"/>
          <w:szCs w:val="24"/>
          <w:lang w:eastAsia="en-IE"/>
        </w:rPr>
        <w:t>certified ADR driver</w:t>
      </w:r>
      <w:r w:rsidR="00726113" w:rsidRPr="00942E59">
        <w:rPr>
          <w:rFonts w:eastAsia="Times New Roman" w:cstheme="minorHAnsi"/>
          <w:sz w:val="24"/>
          <w:szCs w:val="24"/>
          <w:lang w:eastAsia="en-IE"/>
        </w:rPr>
        <w:t xml:space="preserve">.  </w:t>
      </w:r>
      <w:r w:rsidR="00726113">
        <w:rPr>
          <w:rFonts w:eastAsia="Times New Roman" w:cstheme="minorHAnsi"/>
          <w:sz w:val="24"/>
          <w:szCs w:val="24"/>
          <w:lang w:eastAsia="en-IE"/>
        </w:rPr>
        <w:t xml:space="preserve">  </w:t>
      </w:r>
    </w:p>
    <w:p w14:paraId="0F47FB20" w14:textId="4EA2471B" w:rsidR="00BC2862" w:rsidRDefault="00726113" w:rsidP="00BC2862">
      <w:pPr>
        <w:pStyle w:val="ListParagraph"/>
        <w:keepNext/>
        <w:keepLines/>
        <w:numPr>
          <w:ilvl w:val="0"/>
          <w:numId w:val="7"/>
        </w:numPr>
        <w:tabs>
          <w:tab w:val="left" w:pos="-720"/>
          <w:tab w:val="left" w:pos="-324"/>
          <w:tab w:val="left" w:pos="1985"/>
          <w:tab w:val="left" w:pos="2552"/>
          <w:tab w:val="left" w:pos="311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120"/>
        <w:mirrorIndents/>
        <w:jc w:val="both"/>
        <w:rPr>
          <w:rFonts w:eastAsia="Times New Roman" w:cstheme="minorHAnsi"/>
          <w:sz w:val="24"/>
          <w:szCs w:val="24"/>
          <w:lang w:eastAsia="en-IE"/>
        </w:rPr>
      </w:pPr>
      <w:r>
        <w:rPr>
          <w:rFonts w:eastAsia="Times New Roman" w:cstheme="minorHAnsi"/>
          <w:sz w:val="24"/>
          <w:szCs w:val="24"/>
          <w:lang w:eastAsia="en-IE"/>
        </w:rPr>
        <w:t>I</w:t>
      </w:r>
      <w:r w:rsidR="00BC2862" w:rsidRPr="00942E59">
        <w:rPr>
          <w:rFonts w:eastAsia="Times New Roman" w:cstheme="minorHAnsi"/>
          <w:sz w:val="24"/>
          <w:szCs w:val="24"/>
          <w:lang w:eastAsia="en-IE"/>
        </w:rPr>
        <w:t>n a tank as defined in ADR</w:t>
      </w:r>
    </w:p>
    <w:p w14:paraId="6980EDDF" w14:textId="36A7F058" w:rsidR="00C925F9" w:rsidRPr="00942E59" w:rsidRDefault="00726113" w:rsidP="00C925F9">
      <w:pPr>
        <w:pStyle w:val="ListParagraph"/>
        <w:keepNext/>
        <w:keepLines/>
        <w:numPr>
          <w:ilvl w:val="0"/>
          <w:numId w:val="7"/>
        </w:numPr>
        <w:tabs>
          <w:tab w:val="left" w:pos="-720"/>
          <w:tab w:val="left" w:pos="-324"/>
          <w:tab w:val="left" w:pos="1985"/>
          <w:tab w:val="left" w:pos="2552"/>
          <w:tab w:val="left" w:pos="311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120"/>
        <w:mirrorIndents/>
        <w:jc w:val="both"/>
        <w:rPr>
          <w:rFonts w:eastAsia="Times New Roman" w:cstheme="minorHAnsi"/>
          <w:sz w:val="24"/>
          <w:szCs w:val="24"/>
          <w:lang w:eastAsia="en-IE"/>
        </w:rPr>
      </w:pPr>
      <w:r>
        <w:rPr>
          <w:rFonts w:eastAsia="Times New Roman" w:cstheme="minorHAnsi"/>
          <w:sz w:val="24"/>
          <w:szCs w:val="24"/>
          <w:lang w:eastAsia="en-IE"/>
        </w:rPr>
        <w:t>I</w:t>
      </w:r>
      <w:r w:rsidR="00C925F9" w:rsidRPr="00942E59">
        <w:rPr>
          <w:rFonts w:eastAsia="Times New Roman" w:cstheme="minorHAnsi"/>
          <w:sz w:val="24"/>
          <w:szCs w:val="24"/>
          <w:lang w:eastAsia="en-IE"/>
        </w:rPr>
        <w:t xml:space="preserve">n an IBC, </w:t>
      </w:r>
      <w:r w:rsidR="00C925F9">
        <w:rPr>
          <w:rFonts w:eastAsia="Times New Roman" w:cstheme="minorHAnsi"/>
          <w:sz w:val="24"/>
          <w:szCs w:val="24"/>
          <w:lang w:eastAsia="en-IE"/>
        </w:rPr>
        <w:t>for</w:t>
      </w:r>
      <w:r w:rsidR="00C925F9" w:rsidRPr="00942E59">
        <w:rPr>
          <w:rFonts w:eastAsia="Times New Roman" w:cstheme="minorHAnsi"/>
          <w:sz w:val="24"/>
          <w:szCs w:val="24"/>
          <w:lang w:eastAsia="en-IE"/>
        </w:rPr>
        <w:t xml:space="preserve"> diesel or gas oil</w:t>
      </w:r>
      <w:r w:rsidR="00C925F9">
        <w:rPr>
          <w:rFonts w:eastAsia="Times New Roman" w:cstheme="minorHAnsi"/>
          <w:sz w:val="24"/>
          <w:szCs w:val="24"/>
          <w:lang w:eastAsia="en-IE"/>
        </w:rPr>
        <w:t xml:space="preserve"> (UN 1202)</w:t>
      </w:r>
      <w:r w:rsidR="00C925F9" w:rsidRPr="00942E59">
        <w:rPr>
          <w:rFonts w:eastAsia="Times New Roman" w:cstheme="minorHAnsi"/>
          <w:sz w:val="24"/>
          <w:szCs w:val="24"/>
          <w:lang w:eastAsia="en-IE"/>
        </w:rPr>
        <w:t xml:space="preserve"> in quantities of 1000L or greater </w:t>
      </w:r>
    </w:p>
    <w:p w14:paraId="36340A16" w14:textId="5F4E0BF6" w:rsidR="00C925F9" w:rsidRPr="00942E59" w:rsidRDefault="00726113" w:rsidP="00C925F9">
      <w:pPr>
        <w:pStyle w:val="ListParagraph"/>
        <w:keepNext/>
        <w:keepLines/>
        <w:numPr>
          <w:ilvl w:val="0"/>
          <w:numId w:val="7"/>
        </w:numPr>
        <w:tabs>
          <w:tab w:val="left" w:pos="-720"/>
          <w:tab w:val="left" w:pos="-324"/>
          <w:tab w:val="left" w:pos="1985"/>
          <w:tab w:val="left" w:pos="2552"/>
          <w:tab w:val="left" w:pos="311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120"/>
        <w:mirrorIndents/>
        <w:jc w:val="both"/>
        <w:rPr>
          <w:rFonts w:eastAsia="Times New Roman" w:cstheme="minorHAnsi"/>
          <w:sz w:val="24"/>
          <w:szCs w:val="24"/>
          <w:lang w:eastAsia="en-IE"/>
        </w:rPr>
      </w:pPr>
      <w:r>
        <w:rPr>
          <w:rFonts w:eastAsia="Times New Roman" w:cstheme="minorHAnsi"/>
          <w:sz w:val="24"/>
          <w:szCs w:val="24"/>
          <w:lang w:eastAsia="en-IE"/>
        </w:rPr>
        <w:t>I</w:t>
      </w:r>
      <w:r w:rsidR="00C925F9" w:rsidRPr="00942E59">
        <w:rPr>
          <w:rFonts w:eastAsia="Times New Roman" w:cstheme="minorHAnsi"/>
          <w:sz w:val="24"/>
          <w:szCs w:val="24"/>
          <w:lang w:eastAsia="en-IE"/>
        </w:rPr>
        <w:t xml:space="preserve">n an IBC, </w:t>
      </w:r>
      <w:r w:rsidR="00C925F9">
        <w:rPr>
          <w:rFonts w:eastAsia="Times New Roman" w:cstheme="minorHAnsi"/>
          <w:sz w:val="24"/>
          <w:szCs w:val="24"/>
          <w:lang w:eastAsia="en-IE"/>
        </w:rPr>
        <w:t>for</w:t>
      </w:r>
      <w:r w:rsidR="00C925F9" w:rsidRPr="00942E59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="00C925F9">
        <w:rPr>
          <w:rFonts w:eastAsia="Times New Roman" w:cstheme="minorHAnsi"/>
          <w:sz w:val="24"/>
          <w:szCs w:val="24"/>
          <w:lang w:eastAsia="en-IE"/>
        </w:rPr>
        <w:t>kerosene (UN 1223)</w:t>
      </w:r>
      <w:r w:rsidR="00D95067">
        <w:rPr>
          <w:rFonts w:eastAsia="Times New Roman" w:cstheme="minorHAnsi"/>
          <w:sz w:val="24"/>
          <w:szCs w:val="24"/>
          <w:lang w:eastAsia="en-IE"/>
        </w:rPr>
        <w:t xml:space="preserve"> or aviation fuel (UN 1863, PG III)</w:t>
      </w:r>
      <w:r w:rsidR="00C925F9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="00C925F9" w:rsidRPr="00942E59">
        <w:rPr>
          <w:rFonts w:eastAsia="Times New Roman" w:cstheme="minorHAnsi"/>
          <w:sz w:val="24"/>
          <w:szCs w:val="24"/>
          <w:lang w:eastAsia="en-IE"/>
        </w:rPr>
        <w:t xml:space="preserve">in quantities of 1000L or greater </w:t>
      </w:r>
    </w:p>
    <w:p w14:paraId="0B352055" w14:textId="4B78F5DB" w:rsidR="00177473" w:rsidRPr="00726113" w:rsidRDefault="00726113" w:rsidP="00BB5BDB">
      <w:pPr>
        <w:pStyle w:val="ListParagraph"/>
        <w:keepNext/>
        <w:keepLines/>
        <w:numPr>
          <w:ilvl w:val="0"/>
          <w:numId w:val="7"/>
        </w:numPr>
        <w:tabs>
          <w:tab w:val="left" w:pos="-720"/>
          <w:tab w:val="left" w:pos="-324"/>
          <w:tab w:val="left" w:pos="1985"/>
          <w:tab w:val="left" w:pos="2552"/>
          <w:tab w:val="left" w:pos="311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120"/>
        <w:mirrorIndents/>
        <w:jc w:val="both"/>
        <w:rPr>
          <w:rFonts w:eastAsia="Times New Roman" w:cstheme="minorHAnsi"/>
          <w:sz w:val="24"/>
          <w:szCs w:val="24"/>
          <w:lang w:eastAsia="en-IE"/>
        </w:rPr>
      </w:pPr>
      <w:r>
        <w:rPr>
          <w:rFonts w:eastAsia="Times New Roman" w:cstheme="minorHAnsi"/>
          <w:sz w:val="24"/>
          <w:szCs w:val="24"/>
          <w:lang w:eastAsia="en-IE"/>
        </w:rPr>
        <w:t>I</w:t>
      </w:r>
      <w:r w:rsidR="00BC2862" w:rsidRPr="00C925F9">
        <w:rPr>
          <w:rFonts w:eastAsia="Times New Roman" w:cstheme="minorHAnsi"/>
          <w:sz w:val="24"/>
          <w:szCs w:val="24"/>
          <w:lang w:eastAsia="en-IE"/>
        </w:rPr>
        <w:t xml:space="preserve">n </w:t>
      </w:r>
      <w:r w:rsidR="00B05FC6" w:rsidRPr="00C925F9">
        <w:rPr>
          <w:rFonts w:eastAsia="Times New Roman" w:cstheme="minorHAnsi"/>
          <w:sz w:val="24"/>
          <w:szCs w:val="24"/>
          <w:lang w:eastAsia="en-IE"/>
        </w:rPr>
        <w:t>an IBC</w:t>
      </w:r>
      <w:r w:rsidR="00BC2862" w:rsidRPr="00C925F9">
        <w:rPr>
          <w:rFonts w:eastAsia="Times New Roman" w:cstheme="minorHAnsi"/>
          <w:sz w:val="24"/>
          <w:szCs w:val="24"/>
          <w:lang w:eastAsia="en-IE"/>
        </w:rPr>
        <w:t xml:space="preserve">, </w:t>
      </w:r>
      <w:r w:rsidR="004975EB" w:rsidRPr="00C925F9">
        <w:rPr>
          <w:rFonts w:eastAsia="Times New Roman" w:cstheme="minorHAnsi"/>
          <w:sz w:val="24"/>
          <w:szCs w:val="24"/>
          <w:lang w:eastAsia="en-IE"/>
        </w:rPr>
        <w:t>for</w:t>
      </w:r>
      <w:r w:rsidR="00BC2862" w:rsidRPr="00C925F9">
        <w:rPr>
          <w:rFonts w:eastAsia="Times New Roman" w:cstheme="minorHAnsi"/>
          <w:sz w:val="24"/>
          <w:szCs w:val="24"/>
          <w:lang w:eastAsia="en-IE"/>
        </w:rPr>
        <w:t xml:space="preserve"> petrol</w:t>
      </w:r>
      <w:r w:rsidR="00D91F10" w:rsidRPr="00C925F9">
        <w:rPr>
          <w:rFonts w:eastAsia="Times New Roman" w:cstheme="minorHAnsi"/>
          <w:sz w:val="24"/>
          <w:szCs w:val="24"/>
          <w:lang w:eastAsia="en-IE"/>
        </w:rPr>
        <w:t xml:space="preserve"> (UN 1203)</w:t>
      </w:r>
      <w:r w:rsidR="00BC2862" w:rsidRPr="00C925F9">
        <w:rPr>
          <w:rFonts w:eastAsia="Times New Roman" w:cstheme="minorHAnsi"/>
          <w:sz w:val="24"/>
          <w:szCs w:val="24"/>
          <w:lang w:eastAsia="en-IE"/>
        </w:rPr>
        <w:t>, in qu</w:t>
      </w:r>
      <w:r w:rsidR="00C925F9">
        <w:rPr>
          <w:rFonts w:eastAsia="Times New Roman" w:cstheme="minorHAnsi"/>
          <w:sz w:val="24"/>
          <w:szCs w:val="24"/>
          <w:lang w:eastAsia="en-IE"/>
        </w:rPr>
        <w:t>antities of 333L or greater</w:t>
      </w:r>
      <w:r w:rsidR="00BC2862" w:rsidRPr="00C925F9">
        <w:rPr>
          <w:rFonts w:eastAsia="Times New Roman" w:cstheme="minorHAnsi"/>
          <w:sz w:val="24"/>
          <w:szCs w:val="24"/>
          <w:lang w:eastAsia="en-IE"/>
        </w:rPr>
        <w:t xml:space="preserve"> </w:t>
      </w:r>
    </w:p>
    <w:p w14:paraId="216F7B9F" w14:textId="32D5DB2D" w:rsidR="00B05FC6" w:rsidRPr="00942E59" w:rsidRDefault="00B05FC6" w:rsidP="00BB5BDB">
      <w:pPr>
        <w:keepNext/>
        <w:keepLines/>
        <w:tabs>
          <w:tab w:val="left" w:pos="-720"/>
          <w:tab w:val="left" w:pos="-324"/>
          <w:tab w:val="left" w:pos="1985"/>
          <w:tab w:val="left" w:pos="2552"/>
          <w:tab w:val="left" w:pos="311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120"/>
        <w:mirrorIndents/>
        <w:jc w:val="both"/>
        <w:rPr>
          <w:rFonts w:eastAsia="Times New Roman" w:cstheme="minorHAnsi"/>
          <w:sz w:val="24"/>
          <w:szCs w:val="24"/>
          <w:lang w:eastAsia="en-IE"/>
        </w:rPr>
      </w:pPr>
      <w:r w:rsidRPr="00942E59">
        <w:rPr>
          <w:rFonts w:eastAsia="Times New Roman" w:cstheme="minorHAnsi"/>
          <w:sz w:val="24"/>
          <w:szCs w:val="24"/>
          <w:lang w:eastAsia="en-IE"/>
        </w:rPr>
        <w:t>If you are carrying fuel</w:t>
      </w:r>
      <w:r w:rsidR="00726113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="004A0B76">
        <w:rPr>
          <w:rFonts w:eastAsia="Times New Roman" w:cstheme="minorHAnsi"/>
          <w:sz w:val="24"/>
          <w:szCs w:val="24"/>
          <w:lang w:eastAsia="en-IE"/>
        </w:rPr>
        <w:t xml:space="preserve">in smaller quantities </w:t>
      </w:r>
      <w:r w:rsidR="00726113">
        <w:rPr>
          <w:rFonts w:eastAsia="Times New Roman" w:cstheme="minorHAnsi"/>
          <w:sz w:val="24"/>
          <w:szCs w:val="24"/>
          <w:lang w:eastAsia="en-IE"/>
        </w:rPr>
        <w:t xml:space="preserve">as </w:t>
      </w:r>
      <w:r w:rsidR="004A0B76">
        <w:rPr>
          <w:rFonts w:eastAsia="Times New Roman" w:cstheme="minorHAnsi"/>
          <w:sz w:val="24"/>
          <w:szCs w:val="24"/>
          <w:lang w:eastAsia="en-IE"/>
        </w:rPr>
        <w:t>outlined below</w:t>
      </w:r>
      <w:r w:rsidR="00726113">
        <w:rPr>
          <w:rFonts w:eastAsia="Times New Roman" w:cstheme="minorHAnsi"/>
          <w:sz w:val="24"/>
          <w:szCs w:val="24"/>
          <w:lang w:eastAsia="en-IE"/>
        </w:rPr>
        <w:t xml:space="preserve">, </w:t>
      </w:r>
      <w:r w:rsidR="00726113" w:rsidRPr="00942E59">
        <w:rPr>
          <w:rFonts w:eastAsia="Times New Roman" w:cstheme="minorHAnsi"/>
          <w:sz w:val="24"/>
          <w:szCs w:val="24"/>
          <w:lang w:eastAsia="en-IE"/>
        </w:rPr>
        <w:t>then you meet the requirements of</w:t>
      </w:r>
      <w:r w:rsidR="00726113">
        <w:rPr>
          <w:rFonts w:eastAsia="Times New Roman" w:cstheme="minorHAnsi"/>
          <w:sz w:val="24"/>
          <w:szCs w:val="24"/>
          <w:lang w:eastAsia="en-IE"/>
        </w:rPr>
        <w:t xml:space="preserve"> an ADR exemption called</w:t>
      </w:r>
      <w:r w:rsidR="00726113" w:rsidRPr="00942E59">
        <w:rPr>
          <w:rFonts w:eastAsia="Times New Roman" w:cstheme="minorHAnsi"/>
          <w:sz w:val="24"/>
          <w:szCs w:val="24"/>
          <w:lang w:eastAsia="en-IE"/>
        </w:rPr>
        <w:t xml:space="preserve"> the ‘small load exemption’ (ADR 1.1.3.6), and fewer provisions of the ADR apply.  Please refer to our </w:t>
      </w:r>
      <w:hyperlink r:id="rId13" w:history="1">
        <w:r w:rsidR="00726113">
          <w:rPr>
            <w:rStyle w:val="Hyperlink"/>
          </w:rPr>
          <w:t>guide</w:t>
        </w:r>
      </w:hyperlink>
      <w:r w:rsidR="00726113">
        <w:t xml:space="preserve"> </w:t>
      </w:r>
      <w:r w:rsidR="00726113" w:rsidRPr="00942E59">
        <w:rPr>
          <w:rFonts w:eastAsia="Times New Roman" w:cstheme="minorHAnsi"/>
          <w:sz w:val="24"/>
          <w:szCs w:val="24"/>
          <w:lang w:eastAsia="en-IE"/>
        </w:rPr>
        <w:t>for the carriage of dangerous goods by road, Section 5.2.</w:t>
      </w:r>
    </w:p>
    <w:p w14:paraId="123B5DB7" w14:textId="0C17E594" w:rsidR="00B05FC6" w:rsidRPr="00942E59" w:rsidRDefault="00726113" w:rsidP="00016070">
      <w:pPr>
        <w:pStyle w:val="ListParagraph"/>
        <w:keepNext/>
        <w:keepLines/>
        <w:numPr>
          <w:ilvl w:val="0"/>
          <w:numId w:val="7"/>
        </w:numPr>
        <w:tabs>
          <w:tab w:val="left" w:pos="-720"/>
          <w:tab w:val="left" w:pos="-324"/>
          <w:tab w:val="left" w:pos="1985"/>
          <w:tab w:val="left" w:pos="2552"/>
          <w:tab w:val="left" w:pos="311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120"/>
        <w:mirrorIndents/>
        <w:jc w:val="both"/>
        <w:rPr>
          <w:rFonts w:eastAsia="Times New Roman" w:cstheme="minorHAnsi"/>
          <w:sz w:val="24"/>
          <w:szCs w:val="24"/>
          <w:lang w:eastAsia="en-IE"/>
        </w:rPr>
      </w:pPr>
      <w:r>
        <w:rPr>
          <w:rFonts w:eastAsia="Times New Roman" w:cstheme="minorHAnsi"/>
          <w:sz w:val="24"/>
          <w:szCs w:val="24"/>
          <w:lang w:eastAsia="en-IE"/>
        </w:rPr>
        <w:t>I</w:t>
      </w:r>
      <w:r w:rsidR="00B05FC6" w:rsidRPr="00942E59">
        <w:rPr>
          <w:rFonts w:eastAsia="Times New Roman" w:cstheme="minorHAnsi"/>
          <w:sz w:val="24"/>
          <w:szCs w:val="24"/>
          <w:lang w:eastAsia="en-IE"/>
        </w:rPr>
        <w:t xml:space="preserve">n an </w:t>
      </w:r>
      <w:r w:rsidR="004975EB">
        <w:rPr>
          <w:rFonts w:eastAsia="Times New Roman" w:cstheme="minorHAnsi"/>
          <w:sz w:val="24"/>
          <w:szCs w:val="24"/>
          <w:lang w:eastAsia="en-IE"/>
        </w:rPr>
        <w:t>IBC</w:t>
      </w:r>
      <w:r w:rsidR="00B05FC6" w:rsidRPr="00942E59">
        <w:rPr>
          <w:rFonts w:eastAsia="Times New Roman" w:cstheme="minorHAnsi"/>
          <w:sz w:val="24"/>
          <w:szCs w:val="24"/>
          <w:lang w:eastAsia="en-IE"/>
        </w:rPr>
        <w:t xml:space="preserve">, </w:t>
      </w:r>
      <w:r w:rsidR="004975EB">
        <w:rPr>
          <w:rFonts w:eastAsia="Times New Roman" w:cstheme="minorHAnsi"/>
          <w:sz w:val="24"/>
          <w:szCs w:val="24"/>
          <w:lang w:eastAsia="en-IE"/>
        </w:rPr>
        <w:t>for</w:t>
      </w:r>
      <w:r w:rsidR="00B05FC6" w:rsidRPr="00942E59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="00016070" w:rsidRPr="00942E59">
        <w:rPr>
          <w:rFonts w:eastAsia="Times New Roman" w:cstheme="minorHAnsi"/>
          <w:sz w:val="24"/>
          <w:szCs w:val="24"/>
          <w:lang w:eastAsia="en-IE"/>
        </w:rPr>
        <w:t>petrol</w:t>
      </w:r>
      <w:r w:rsidR="00016070">
        <w:rPr>
          <w:rFonts w:eastAsia="Times New Roman" w:cstheme="minorHAnsi"/>
          <w:sz w:val="24"/>
          <w:szCs w:val="24"/>
          <w:lang w:eastAsia="en-IE"/>
        </w:rPr>
        <w:t xml:space="preserve"> (UN 1203)</w:t>
      </w:r>
      <w:r w:rsidR="00B05FC6" w:rsidRPr="00942E59">
        <w:rPr>
          <w:rFonts w:eastAsia="Times New Roman" w:cstheme="minorHAnsi"/>
          <w:sz w:val="24"/>
          <w:szCs w:val="24"/>
          <w:lang w:eastAsia="en-IE"/>
        </w:rPr>
        <w:t xml:space="preserve">, in quantities </w:t>
      </w:r>
      <w:r w:rsidR="004A0B76">
        <w:rPr>
          <w:rFonts w:eastAsia="Times New Roman" w:cstheme="minorHAnsi"/>
          <w:sz w:val="24"/>
          <w:szCs w:val="24"/>
          <w:lang w:eastAsia="en-IE"/>
        </w:rPr>
        <w:t xml:space="preserve">less than </w:t>
      </w:r>
      <w:r w:rsidR="00B05FC6" w:rsidRPr="00942E59">
        <w:rPr>
          <w:rFonts w:eastAsia="Times New Roman" w:cstheme="minorHAnsi"/>
          <w:sz w:val="24"/>
          <w:szCs w:val="24"/>
          <w:lang w:eastAsia="en-IE"/>
        </w:rPr>
        <w:t xml:space="preserve">333L, or, </w:t>
      </w:r>
    </w:p>
    <w:p w14:paraId="0A86DE52" w14:textId="60ADFC45" w:rsidR="00B05FC6" w:rsidRPr="00942E59" w:rsidRDefault="00726113" w:rsidP="00016070">
      <w:pPr>
        <w:pStyle w:val="ListParagraph"/>
        <w:keepNext/>
        <w:keepLines/>
        <w:numPr>
          <w:ilvl w:val="0"/>
          <w:numId w:val="7"/>
        </w:numPr>
        <w:tabs>
          <w:tab w:val="left" w:pos="-720"/>
          <w:tab w:val="left" w:pos="-324"/>
          <w:tab w:val="left" w:pos="1985"/>
          <w:tab w:val="left" w:pos="2552"/>
          <w:tab w:val="left" w:pos="311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120"/>
        <w:mirrorIndents/>
        <w:jc w:val="both"/>
        <w:rPr>
          <w:rFonts w:eastAsia="Times New Roman" w:cstheme="minorHAnsi"/>
          <w:sz w:val="24"/>
          <w:szCs w:val="24"/>
          <w:lang w:eastAsia="en-IE"/>
        </w:rPr>
      </w:pPr>
      <w:r>
        <w:rPr>
          <w:rFonts w:eastAsia="Times New Roman" w:cstheme="minorHAnsi"/>
          <w:sz w:val="24"/>
          <w:szCs w:val="24"/>
          <w:lang w:eastAsia="en-IE"/>
        </w:rPr>
        <w:t>I</w:t>
      </w:r>
      <w:r w:rsidR="00B05FC6" w:rsidRPr="00942E59">
        <w:rPr>
          <w:rFonts w:eastAsia="Times New Roman" w:cstheme="minorHAnsi"/>
          <w:sz w:val="24"/>
          <w:szCs w:val="24"/>
          <w:lang w:eastAsia="en-IE"/>
        </w:rPr>
        <w:t xml:space="preserve">n an </w:t>
      </w:r>
      <w:r w:rsidR="004975EB">
        <w:rPr>
          <w:rFonts w:eastAsia="Times New Roman" w:cstheme="minorHAnsi"/>
          <w:sz w:val="24"/>
          <w:szCs w:val="24"/>
          <w:lang w:eastAsia="en-IE"/>
        </w:rPr>
        <w:t>IBC</w:t>
      </w:r>
      <w:r w:rsidR="00B05FC6" w:rsidRPr="00942E59">
        <w:rPr>
          <w:rFonts w:eastAsia="Times New Roman" w:cstheme="minorHAnsi"/>
          <w:sz w:val="24"/>
          <w:szCs w:val="24"/>
          <w:lang w:eastAsia="en-IE"/>
        </w:rPr>
        <w:t xml:space="preserve">, </w:t>
      </w:r>
      <w:r w:rsidR="004975EB">
        <w:rPr>
          <w:rFonts w:eastAsia="Times New Roman" w:cstheme="minorHAnsi"/>
          <w:sz w:val="24"/>
          <w:szCs w:val="24"/>
          <w:lang w:eastAsia="en-IE"/>
        </w:rPr>
        <w:t>for</w:t>
      </w:r>
      <w:r w:rsidR="00B05FC6" w:rsidRPr="00942E59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="007610D9">
        <w:rPr>
          <w:rFonts w:eastAsia="Times New Roman" w:cstheme="minorHAnsi"/>
          <w:sz w:val="24"/>
          <w:szCs w:val="24"/>
          <w:lang w:eastAsia="en-IE"/>
        </w:rPr>
        <w:t xml:space="preserve">kerosene (UN 1223), </w:t>
      </w:r>
      <w:r w:rsidR="00D95067">
        <w:rPr>
          <w:rFonts w:eastAsia="Times New Roman" w:cstheme="minorHAnsi"/>
          <w:sz w:val="24"/>
          <w:szCs w:val="24"/>
          <w:lang w:eastAsia="en-IE"/>
        </w:rPr>
        <w:t xml:space="preserve">aviation fuel (UN 1863, PG III), </w:t>
      </w:r>
      <w:r w:rsidR="00B05FC6" w:rsidRPr="00942E59">
        <w:rPr>
          <w:rFonts w:eastAsia="Times New Roman" w:cstheme="minorHAnsi"/>
          <w:sz w:val="24"/>
          <w:szCs w:val="24"/>
          <w:lang w:eastAsia="en-IE"/>
        </w:rPr>
        <w:t>diesel or gas oil</w:t>
      </w:r>
      <w:r w:rsidR="00016070">
        <w:rPr>
          <w:rFonts w:eastAsia="Times New Roman" w:cstheme="minorHAnsi"/>
          <w:sz w:val="24"/>
          <w:szCs w:val="24"/>
          <w:lang w:eastAsia="en-IE"/>
        </w:rPr>
        <w:t xml:space="preserve"> (UN 1202)</w:t>
      </w:r>
      <w:r w:rsidR="00B05FC6" w:rsidRPr="00942E59">
        <w:rPr>
          <w:rFonts w:eastAsia="Times New Roman" w:cstheme="minorHAnsi"/>
          <w:sz w:val="24"/>
          <w:szCs w:val="24"/>
          <w:lang w:eastAsia="en-IE"/>
        </w:rPr>
        <w:t xml:space="preserve">, in quantities </w:t>
      </w:r>
      <w:r w:rsidR="004A0B76">
        <w:rPr>
          <w:rFonts w:eastAsia="Times New Roman" w:cstheme="minorHAnsi"/>
          <w:sz w:val="24"/>
          <w:szCs w:val="24"/>
          <w:lang w:eastAsia="en-IE"/>
        </w:rPr>
        <w:t>less than</w:t>
      </w:r>
      <w:r w:rsidR="00B05FC6" w:rsidRPr="00942E59">
        <w:rPr>
          <w:rFonts w:eastAsia="Times New Roman" w:cstheme="minorHAnsi"/>
          <w:sz w:val="24"/>
          <w:szCs w:val="24"/>
          <w:lang w:eastAsia="en-IE"/>
        </w:rPr>
        <w:t xml:space="preserve"> 1000L</w:t>
      </w:r>
    </w:p>
    <w:p w14:paraId="529899E4" w14:textId="7969F2A6" w:rsidR="00B05FC6" w:rsidRPr="00942E59" w:rsidRDefault="00B05FC6" w:rsidP="00BB5BDB">
      <w:pPr>
        <w:keepNext/>
        <w:keepLines/>
        <w:tabs>
          <w:tab w:val="left" w:pos="-720"/>
          <w:tab w:val="left" w:pos="-324"/>
          <w:tab w:val="left" w:pos="1985"/>
          <w:tab w:val="left" w:pos="2552"/>
          <w:tab w:val="left" w:pos="311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120"/>
        <w:mirrorIndents/>
        <w:jc w:val="both"/>
        <w:rPr>
          <w:rFonts w:eastAsia="Times New Roman" w:cstheme="minorHAnsi"/>
          <w:sz w:val="24"/>
          <w:szCs w:val="24"/>
          <w:lang w:eastAsia="en-I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59"/>
        <w:gridCol w:w="3406"/>
        <w:gridCol w:w="3351"/>
      </w:tblGrid>
      <w:tr w:rsidR="007E514B" w14:paraId="52F02362" w14:textId="77777777" w:rsidTr="00C14542">
        <w:tc>
          <w:tcPr>
            <w:tcW w:w="9016" w:type="dxa"/>
            <w:gridSpan w:val="3"/>
          </w:tcPr>
          <w:p w14:paraId="672D6106" w14:textId="746C9C79" w:rsidR="007E514B" w:rsidRPr="007E514B" w:rsidRDefault="007E514B" w:rsidP="00122DA7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jc w:val="center"/>
              <w:rPr>
                <w:rFonts w:eastAsia="Times New Roman" w:cstheme="minorHAnsi"/>
                <w:b/>
                <w:sz w:val="28"/>
                <w:szCs w:val="28"/>
                <w:lang w:eastAsia="en-IE"/>
              </w:rPr>
            </w:pPr>
            <w:r w:rsidRPr="007E514B">
              <w:rPr>
                <w:rFonts w:eastAsia="Times New Roman" w:cstheme="minorHAnsi"/>
                <w:b/>
                <w:sz w:val="28"/>
                <w:szCs w:val="28"/>
                <w:lang w:eastAsia="en-IE"/>
              </w:rPr>
              <w:lastRenderedPageBreak/>
              <w:t>Checklist for the certification, inspection, testing and use of IBCs and tanks for the carriage of</w:t>
            </w:r>
            <w:r w:rsidR="004975EB">
              <w:rPr>
                <w:rFonts w:eastAsia="Times New Roman" w:cstheme="minorHAnsi"/>
                <w:b/>
                <w:sz w:val="28"/>
                <w:szCs w:val="28"/>
                <w:lang w:eastAsia="en-IE"/>
              </w:rPr>
              <w:t xml:space="preserve"> petrol,</w:t>
            </w:r>
            <w:r w:rsidRPr="007E514B">
              <w:rPr>
                <w:rFonts w:eastAsia="Times New Roman" w:cstheme="minorHAnsi"/>
                <w:b/>
                <w:sz w:val="28"/>
                <w:szCs w:val="28"/>
                <w:lang w:eastAsia="en-IE"/>
              </w:rPr>
              <w:t xml:space="preserve"> </w:t>
            </w:r>
            <w:r w:rsidR="00D6529C">
              <w:rPr>
                <w:rFonts w:eastAsia="Times New Roman" w:cstheme="minorHAnsi"/>
                <w:b/>
                <w:sz w:val="28"/>
                <w:szCs w:val="28"/>
                <w:lang w:eastAsia="en-IE"/>
              </w:rPr>
              <w:t xml:space="preserve">kerosene, </w:t>
            </w:r>
            <w:r w:rsidRPr="007E514B">
              <w:rPr>
                <w:rFonts w:eastAsia="Times New Roman" w:cstheme="minorHAnsi"/>
                <w:b/>
                <w:sz w:val="28"/>
                <w:szCs w:val="28"/>
                <w:lang w:eastAsia="en-IE"/>
              </w:rPr>
              <w:t>diesel and gas oil on public roads</w:t>
            </w:r>
          </w:p>
        </w:tc>
      </w:tr>
      <w:tr w:rsidR="00DA1BED" w14:paraId="7FF572AE" w14:textId="77777777" w:rsidTr="00BF79BF">
        <w:tc>
          <w:tcPr>
            <w:tcW w:w="2259" w:type="dxa"/>
          </w:tcPr>
          <w:p w14:paraId="62697B26" w14:textId="77777777" w:rsidR="00DA1BED" w:rsidRDefault="00DA1BED" w:rsidP="00BF79B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</w:p>
        </w:tc>
        <w:tc>
          <w:tcPr>
            <w:tcW w:w="3406" w:type="dxa"/>
          </w:tcPr>
          <w:p w14:paraId="03A64A3C" w14:textId="6704C495" w:rsidR="00DA1BED" w:rsidRPr="00122DA7" w:rsidRDefault="00DA1BED" w:rsidP="00122DA7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jc w:val="center"/>
              <w:rPr>
                <w:rFonts w:eastAsia="Times New Roman" w:cstheme="minorHAnsi"/>
                <w:b/>
                <w:lang w:eastAsia="en-IE"/>
              </w:rPr>
            </w:pPr>
            <w:r w:rsidRPr="00122DA7">
              <w:rPr>
                <w:rFonts w:eastAsia="Times New Roman" w:cstheme="minorHAnsi"/>
                <w:b/>
                <w:lang w:eastAsia="en-IE"/>
              </w:rPr>
              <w:t>Intermediate Bulk Container</w:t>
            </w:r>
            <w:r w:rsidR="00B82948" w:rsidRPr="00122DA7">
              <w:rPr>
                <w:rFonts w:eastAsia="Times New Roman" w:cstheme="minorHAnsi"/>
                <w:b/>
                <w:lang w:eastAsia="en-IE"/>
              </w:rPr>
              <w:t xml:space="preserve"> (IBC)</w:t>
            </w:r>
          </w:p>
        </w:tc>
        <w:tc>
          <w:tcPr>
            <w:tcW w:w="3351" w:type="dxa"/>
          </w:tcPr>
          <w:p w14:paraId="1D7A82B7" w14:textId="27C18820" w:rsidR="00DA1BED" w:rsidRPr="00122DA7" w:rsidRDefault="002B3734" w:rsidP="00122DA7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jc w:val="center"/>
              <w:rPr>
                <w:rFonts w:eastAsia="Times New Roman" w:cstheme="minorHAnsi"/>
                <w:b/>
                <w:lang w:eastAsia="en-IE"/>
              </w:rPr>
            </w:pPr>
            <w:r w:rsidRPr="00122DA7">
              <w:rPr>
                <w:rFonts w:eastAsia="Times New Roman" w:cstheme="minorHAnsi"/>
                <w:b/>
                <w:lang w:eastAsia="en-IE"/>
              </w:rPr>
              <w:t xml:space="preserve">ADR </w:t>
            </w:r>
            <w:r w:rsidR="00DA1BED" w:rsidRPr="00122DA7">
              <w:rPr>
                <w:rFonts w:eastAsia="Times New Roman" w:cstheme="minorHAnsi"/>
                <w:b/>
                <w:lang w:eastAsia="en-IE"/>
              </w:rPr>
              <w:t>Tank (manufactured after 1 July 2003)</w:t>
            </w:r>
          </w:p>
        </w:tc>
      </w:tr>
      <w:tr w:rsidR="00E4600F" w14:paraId="18DE6E98" w14:textId="77777777" w:rsidTr="00BF79BF">
        <w:tc>
          <w:tcPr>
            <w:tcW w:w="2259" w:type="dxa"/>
          </w:tcPr>
          <w:p w14:paraId="7CEFB0F3" w14:textId="51341DB1" w:rsidR="00E4600F" w:rsidRDefault="00E4600F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Capacity</w:t>
            </w:r>
          </w:p>
        </w:tc>
        <w:tc>
          <w:tcPr>
            <w:tcW w:w="3406" w:type="dxa"/>
          </w:tcPr>
          <w:p w14:paraId="12645BC2" w14:textId="498DD3DB" w:rsidR="00E4600F" w:rsidRDefault="00E6583A" w:rsidP="00E6583A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 xml:space="preserve">Less than </w:t>
            </w:r>
            <w:r w:rsidR="00E4600F">
              <w:rPr>
                <w:rFonts w:eastAsia="Times New Roman" w:cstheme="minorHAnsi"/>
                <w:lang w:eastAsia="en-IE"/>
              </w:rPr>
              <w:t>3,000L</w:t>
            </w:r>
          </w:p>
        </w:tc>
        <w:tc>
          <w:tcPr>
            <w:tcW w:w="3351" w:type="dxa"/>
          </w:tcPr>
          <w:p w14:paraId="2F20D029" w14:textId="70A6A4CA" w:rsidR="00E4600F" w:rsidRDefault="00E6583A" w:rsidP="00E6583A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Greater than</w:t>
            </w:r>
            <w:r w:rsidR="00E4600F">
              <w:rPr>
                <w:rFonts w:eastAsia="Times New Roman" w:cstheme="minorHAnsi"/>
                <w:lang w:eastAsia="en-IE"/>
              </w:rPr>
              <w:t xml:space="preserve"> 1,000L</w:t>
            </w:r>
          </w:p>
        </w:tc>
      </w:tr>
      <w:tr w:rsidR="00E4600F" w14:paraId="7846451B" w14:textId="77777777" w:rsidTr="00BF79BF">
        <w:tc>
          <w:tcPr>
            <w:tcW w:w="2259" w:type="dxa"/>
          </w:tcPr>
          <w:p w14:paraId="23C155DE" w14:textId="77777777" w:rsidR="00E4600F" w:rsidRDefault="00E4600F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ADR references</w:t>
            </w:r>
          </w:p>
          <w:p w14:paraId="16364B5E" w14:textId="71B0A6A8" w:rsidR="00E4600F" w:rsidRDefault="00E4600F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Construction, certification and inspection</w:t>
            </w:r>
          </w:p>
        </w:tc>
        <w:tc>
          <w:tcPr>
            <w:tcW w:w="3406" w:type="dxa"/>
          </w:tcPr>
          <w:p w14:paraId="3BF60AF3" w14:textId="6FFC5CFD" w:rsidR="00E4600F" w:rsidRDefault="00E4600F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Chapter 6.5 and 4.1.2</w:t>
            </w:r>
          </w:p>
        </w:tc>
        <w:tc>
          <w:tcPr>
            <w:tcW w:w="3351" w:type="dxa"/>
          </w:tcPr>
          <w:p w14:paraId="690ECFC9" w14:textId="77604458" w:rsidR="00E4600F" w:rsidRDefault="00E4600F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Chapters 6.8 and 4.3</w:t>
            </w:r>
          </w:p>
        </w:tc>
      </w:tr>
      <w:tr w:rsidR="00E4600F" w14:paraId="13D0F7DF" w14:textId="77777777" w:rsidTr="00BF79BF">
        <w:tc>
          <w:tcPr>
            <w:tcW w:w="2259" w:type="dxa"/>
          </w:tcPr>
          <w:p w14:paraId="5D1D0E56" w14:textId="6F836E5A" w:rsidR="00E4600F" w:rsidRDefault="00942E59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UN design type marking IBC</w:t>
            </w:r>
          </w:p>
        </w:tc>
        <w:tc>
          <w:tcPr>
            <w:tcW w:w="3406" w:type="dxa"/>
          </w:tcPr>
          <w:p w14:paraId="1D4C9D81" w14:textId="26BB62A2" w:rsidR="00E4600F" w:rsidRDefault="00E4600F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</w:pPr>
            <w:r w:rsidRPr="00D21EAB">
              <w:t>Marks to indicate IBC manufactured and suc</w:t>
            </w:r>
            <w:r w:rsidR="005733DE">
              <w:t>cessfully tested to design type.</w:t>
            </w:r>
          </w:p>
          <w:p w14:paraId="7DC3B6CA" w14:textId="2C6661D7" w:rsidR="005733DE" w:rsidRPr="00D21EAB" w:rsidRDefault="00942E59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</w:pPr>
            <w:r>
              <w:t>For example</w:t>
            </w:r>
          </w:p>
          <w:p w14:paraId="77E25BF3" w14:textId="77777777" w:rsidR="00E4600F" w:rsidRDefault="00E4600F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</w:pPr>
            <w:r>
              <w:t>UN31B</w:t>
            </w:r>
            <w:r w:rsidRPr="006D602A">
              <w:t>/Y/0518/D/</w:t>
            </w:r>
            <w:r>
              <w:t>AZB/3</w:t>
            </w:r>
            <w:r w:rsidRPr="006D602A">
              <w:t>000/1200</w:t>
            </w:r>
          </w:p>
          <w:p w14:paraId="3EBBDF12" w14:textId="4FC1AA2F" w:rsidR="00942E59" w:rsidRPr="00E4600F" w:rsidRDefault="00942E59" w:rsidP="004D63B2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</w:pPr>
            <w:r>
              <w:t xml:space="preserve">See </w:t>
            </w:r>
            <w:r w:rsidR="004D63B2">
              <w:t>note below</w:t>
            </w:r>
            <w:r w:rsidR="005A1C76">
              <w:t xml:space="preserve"> for explanation of the different elements of the IBC code</w:t>
            </w:r>
            <w:r w:rsidR="00F60C95">
              <w:t xml:space="preserve"> (link on webpage to relevant section)</w:t>
            </w:r>
          </w:p>
        </w:tc>
        <w:tc>
          <w:tcPr>
            <w:tcW w:w="3351" w:type="dxa"/>
          </w:tcPr>
          <w:p w14:paraId="4869899C" w14:textId="6288F41B" w:rsidR="00E4600F" w:rsidRDefault="00E4600F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</w:p>
        </w:tc>
      </w:tr>
      <w:tr w:rsidR="00E4600F" w14:paraId="0D67101E" w14:textId="77777777" w:rsidTr="00BF79BF">
        <w:tc>
          <w:tcPr>
            <w:tcW w:w="2259" w:type="dxa"/>
          </w:tcPr>
          <w:p w14:paraId="755B5C37" w14:textId="7731C5F1" w:rsidR="00E4600F" w:rsidRDefault="00E4600F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Plate marking</w:t>
            </w:r>
          </w:p>
        </w:tc>
        <w:tc>
          <w:tcPr>
            <w:tcW w:w="3406" w:type="dxa"/>
          </w:tcPr>
          <w:p w14:paraId="00D8F110" w14:textId="13466147" w:rsidR="00E4600F" w:rsidRDefault="00E4600F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</w:pPr>
            <w:r w:rsidRPr="00122DA7">
              <w:t>The following marking</w:t>
            </w:r>
            <w:r w:rsidR="00D6529C">
              <w:t xml:space="preserve"> </w:t>
            </w:r>
            <w:r w:rsidR="00DF2073">
              <w:t xml:space="preserve">is </w:t>
            </w:r>
            <w:r w:rsidR="00D6529C">
              <w:t>required (and</w:t>
            </w:r>
            <w:r w:rsidRPr="00122DA7">
              <w:t xml:space="preserve"> may appear on a corrosion resistant plate</w:t>
            </w:r>
            <w:r>
              <w:t xml:space="preserve"> permanently attached</w:t>
            </w:r>
            <w:r w:rsidR="00D6529C">
              <w:t>)</w:t>
            </w:r>
            <w:r>
              <w:t>:</w:t>
            </w:r>
          </w:p>
          <w:p w14:paraId="0CE5DC19" w14:textId="680414DF" w:rsidR="00E4600F" w:rsidRDefault="00E4600F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</w:pPr>
            <w:r>
              <w:t>Capacity in L</w:t>
            </w:r>
          </w:p>
          <w:p w14:paraId="7FA18BB2" w14:textId="60AB23E5" w:rsidR="00E4600F" w:rsidRDefault="00E4600F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</w:pPr>
            <w:r>
              <w:t>Tare mass in Kg</w:t>
            </w:r>
          </w:p>
          <w:p w14:paraId="208CFCEF" w14:textId="604FBD02" w:rsidR="00E4600F" w:rsidRDefault="00E4600F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</w:pPr>
            <w:r>
              <w:t>Test pressure in kPa or bar</w:t>
            </w:r>
          </w:p>
          <w:p w14:paraId="6E12E032" w14:textId="2374E30A" w:rsidR="00E4600F" w:rsidRDefault="00E4600F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</w:pPr>
            <w:r>
              <w:t>For metal IBCs: Body material and minimum thickness</w:t>
            </w:r>
          </w:p>
          <w:p w14:paraId="731B0BC4" w14:textId="26CB3644" w:rsidR="00E4600F" w:rsidRDefault="00E4600F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</w:pPr>
            <w:r>
              <w:t>Date of last leakproofness test (month and year)</w:t>
            </w:r>
          </w:p>
          <w:p w14:paraId="5CED9E0D" w14:textId="62F263C4" w:rsidR="00E4600F" w:rsidRDefault="00E4600F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</w:pPr>
            <w:r>
              <w:t>Date of last inspection (month and year)</w:t>
            </w:r>
          </w:p>
          <w:p w14:paraId="2FEDF406" w14:textId="40F3C4DB" w:rsidR="00E4600F" w:rsidRDefault="00E4600F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</w:pPr>
            <w:r>
              <w:t>For metal IBCs: Serial number of manufacturer</w:t>
            </w:r>
          </w:p>
          <w:p w14:paraId="62D3DE6C" w14:textId="6463CEFB" w:rsidR="00C90D9A" w:rsidRDefault="00C90D9A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</w:pPr>
          </w:p>
          <w:p w14:paraId="4CEDA670" w14:textId="0D28B029" w:rsidR="00E4600F" w:rsidRPr="00311518" w:rsidRDefault="00E4600F" w:rsidP="00691944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</w:pPr>
          </w:p>
        </w:tc>
        <w:tc>
          <w:tcPr>
            <w:tcW w:w="3351" w:type="dxa"/>
          </w:tcPr>
          <w:p w14:paraId="27C0EBE0" w14:textId="64E2589D" w:rsidR="00E4600F" w:rsidRDefault="00E4600F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</w:pPr>
            <w:r w:rsidRPr="00122DA7">
              <w:t xml:space="preserve">The following marking </w:t>
            </w:r>
            <w:r w:rsidR="00D6529C">
              <w:t>shall</w:t>
            </w:r>
            <w:r w:rsidRPr="00122DA7">
              <w:t xml:space="preserve"> appear on a corrosion resistant plate</w:t>
            </w:r>
            <w:r>
              <w:t xml:space="preserve"> permanently attached:</w:t>
            </w:r>
          </w:p>
          <w:p w14:paraId="37DF2FC9" w14:textId="6E9CEDBA" w:rsidR="00E4600F" w:rsidRDefault="00D6529C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A</w:t>
            </w:r>
            <w:r w:rsidR="00E4600F">
              <w:rPr>
                <w:rFonts w:eastAsia="Times New Roman" w:cstheme="minorHAnsi"/>
                <w:lang w:eastAsia="en-IE"/>
              </w:rPr>
              <w:t>pproval number</w:t>
            </w:r>
          </w:p>
          <w:p w14:paraId="58CE28BD" w14:textId="05B6A2CF" w:rsidR="00E4600F" w:rsidRDefault="00DF2073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Manufacturers name/</w:t>
            </w:r>
            <w:r w:rsidR="00D6529C">
              <w:rPr>
                <w:rFonts w:eastAsia="Times New Roman" w:cstheme="minorHAnsi"/>
                <w:lang w:eastAsia="en-IE"/>
              </w:rPr>
              <w:t xml:space="preserve">mark </w:t>
            </w:r>
            <w:r w:rsidR="00E4600F">
              <w:rPr>
                <w:rFonts w:eastAsia="Times New Roman" w:cstheme="minorHAnsi"/>
                <w:lang w:eastAsia="en-IE"/>
              </w:rPr>
              <w:t>and</w:t>
            </w:r>
            <w:r>
              <w:rPr>
                <w:rFonts w:eastAsia="Times New Roman" w:cstheme="minorHAnsi"/>
                <w:lang w:eastAsia="en-IE"/>
              </w:rPr>
              <w:t xml:space="preserve"> </w:t>
            </w:r>
            <w:r w:rsidR="00E4600F">
              <w:rPr>
                <w:rFonts w:eastAsia="Times New Roman" w:cstheme="minorHAnsi"/>
                <w:lang w:eastAsia="en-IE"/>
              </w:rPr>
              <w:t>serial number</w:t>
            </w:r>
          </w:p>
          <w:p w14:paraId="6FC1390B" w14:textId="61ABD601" w:rsidR="00E4600F" w:rsidRDefault="00E4600F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Year of manufacture</w:t>
            </w:r>
          </w:p>
          <w:p w14:paraId="7D319CD4" w14:textId="11CDEFC9" w:rsidR="00E4600F" w:rsidRDefault="00D6529C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Test pressure (gauge pressure)</w:t>
            </w:r>
          </w:p>
          <w:p w14:paraId="033707C7" w14:textId="5C0E403E" w:rsidR="00D6529C" w:rsidRDefault="00D6529C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External design pressure</w:t>
            </w:r>
          </w:p>
          <w:p w14:paraId="62A6A5D2" w14:textId="12B0A65D" w:rsidR="00E4600F" w:rsidRDefault="00E4600F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Shell capacity</w:t>
            </w:r>
          </w:p>
          <w:p w14:paraId="1DEB0BCA" w14:textId="3282BD0E" w:rsidR="00E4600F" w:rsidRDefault="00E4600F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Design temperature</w:t>
            </w:r>
          </w:p>
          <w:p w14:paraId="5C9B830C" w14:textId="4FA4A05B" w:rsidR="00E4600F" w:rsidRDefault="00E4600F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Date and type of most recent inspection (month, year)</w:t>
            </w:r>
          </w:p>
          <w:p w14:paraId="79A8A6C9" w14:textId="2F92EC17" w:rsidR="00E4600F" w:rsidRDefault="00E4600F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Stamp of inspection body</w:t>
            </w:r>
          </w:p>
          <w:p w14:paraId="3277FDEE" w14:textId="7A679D4D" w:rsidR="00E4600F" w:rsidRDefault="00E4600F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Shell material</w:t>
            </w:r>
          </w:p>
          <w:p w14:paraId="5416E549" w14:textId="57EE95F4" w:rsidR="00E4600F" w:rsidRDefault="00E4600F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Test pressure</w:t>
            </w:r>
          </w:p>
        </w:tc>
      </w:tr>
      <w:tr w:rsidR="00E4600F" w14:paraId="493437C5" w14:textId="77777777" w:rsidTr="00BF79BF">
        <w:tc>
          <w:tcPr>
            <w:tcW w:w="2259" w:type="dxa"/>
          </w:tcPr>
          <w:p w14:paraId="2EEE27B0" w14:textId="6C68735F" w:rsidR="00E4600F" w:rsidRDefault="00E4600F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lastRenderedPageBreak/>
              <w:t>Construction, initial inspection and testing</w:t>
            </w:r>
          </w:p>
        </w:tc>
        <w:tc>
          <w:tcPr>
            <w:tcW w:w="3406" w:type="dxa"/>
          </w:tcPr>
          <w:p w14:paraId="23BDB517" w14:textId="6D9B1D80" w:rsidR="00E4600F" w:rsidRDefault="00942E59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 xml:space="preserve">Manufactured to </w:t>
            </w:r>
            <w:r w:rsidR="00E4600F">
              <w:rPr>
                <w:rFonts w:eastAsia="Times New Roman" w:cstheme="minorHAnsi"/>
                <w:lang w:eastAsia="en-IE"/>
              </w:rPr>
              <w:t>ISO 16106:2006 or equivalent</w:t>
            </w:r>
          </w:p>
          <w:p w14:paraId="030FE0FF" w14:textId="6CEE6011" w:rsidR="00E4600F" w:rsidRDefault="00942E59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 xml:space="preserve">Certificate </w:t>
            </w:r>
            <w:r w:rsidR="00E4600F">
              <w:rPr>
                <w:rFonts w:eastAsia="Times New Roman" w:cstheme="minorHAnsi"/>
                <w:lang w:eastAsia="en-IE"/>
              </w:rPr>
              <w:t>to indicate:</w:t>
            </w:r>
          </w:p>
          <w:p w14:paraId="243F8489" w14:textId="21DE3F05" w:rsidR="00E4600F" w:rsidRDefault="00E4600F" w:rsidP="00E4600F">
            <w:pPr>
              <w:pStyle w:val="ListParagraph"/>
              <w:keepNext/>
              <w:keepLines/>
              <w:numPr>
                <w:ilvl w:val="0"/>
                <w:numId w:val="3"/>
              </w:numPr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 w:line="240" w:lineRule="auto"/>
              <w:mirrorIndents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Conformity to design type including marks</w:t>
            </w:r>
          </w:p>
          <w:p w14:paraId="662462E1" w14:textId="28A557D9" w:rsidR="00E4600F" w:rsidRDefault="00E4600F" w:rsidP="00E4600F">
            <w:pPr>
              <w:pStyle w:val="ListParagraph"/>
              <w:keepNext/>
              <w:keepLines/>
              <w:numPr>
                <w:ilvl w:val="0"/>
                <w:numId w:val="3"/>
              </w:numPr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 w:line="240" w:lineRule="auto"/>
              <w:mirrorIndents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Internal and external condition</w:t>
            </w:r>
          </w:p>
          <w:p w14:paraId="581556E9" w14:textId="67189F9D" w:rsidR="00E4600F" w:rsidRDefault="00E4600F" w:rsidP="00E4600F">
            <w:pPr>
              <w:pStyle w:val="ListParagraph"/>
              <w:keepNext/>
              <w:keepLines/>
              <w:numPr>
                <w:ilvl w:val="0"/>
                <w:numId w:val="3"/>
              </w:numPr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 w:line="240" w:lineRule="auto"/>
              <w:mirrorIndents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Proper functioning of service equipment</w:t>
            </w:r>
          </w:p>
          <w:p w14:paraId="36B02839" w14:textId="7B087975" w:rsidR="00E4600F" w:rsidRPr="006454BD" w:rsidRDefault="00E4600F" w:rsidP="00E4600F">
            <w:pPr>
              <w:pStyle w:val="ListParagraph"/>
              <w:keepNext/>
              <w:keepLines/>
              <w:numPr>
                <w:ilvl w:val="0"/>
                <w:numId w:val="3"/>
              </w:numPr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 w:line="240" w:lineRule="auto"/>
              <w:mirrorIndents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Leakproofness test</w:t>
            </w:r>
          </w:p>
          <w:p w14:paraId="017567ED" w14:textId="77777777" w:rsidR="00E4600F" w:rsidRDefault="00E4600F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</w:p>
        </w:tc>
        <w:tc>
          <w:tcPr>
            <w:tcW w:w="3351" w:type="dxa"/>
          </w:tcPr>
          <w:p w14:paraId="1020B289" w14:textId="704D20E6" w:rsidR="00E4600F" w:rsidRDefault="00E4600F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Type Approval certificate</w:t>
            </w:r>
          </w:p>
          <w:p w14:paraId="516DF787" w14:textId="7D8FE4D8" w:rsidR="00E4600F" w:rsidRDefault="00E4600F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Certificate of initial inspection</w:t>
            </w:r>
          </w:p>
          <w:p w14:paraId="37C0CA32" w14:textId="77777777" w:rsidR="00E4600F" w:rsidRDefault="00E4600F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</w:p>
          <w:p w14:paraId="44EB0D9A" w14:textId="77777777" w:rsidR="00E4600F" w:rsidRDefault="00E4600F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</w:p>
          <w:p w14:paraId="177A18C3" w14:textId="730BE01E" w:rsidR="00E4600F" w:rsidRDefault="00E4600F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 xml:space="preserve">Note: </w:t>
            </w:r>
            <w:r w:rsidR="004A0B76">
              <w:rPr>
                <w:rFonts w:eastAsia="Times New Roman" w:cstheme="minorHAnsi"/>
                <w:lang w:eastAsia="en-IE"/>
              </w:rPr>
              <w:t>Tank c</w:t>
            </w:r>
            <w:r>
              <w:rPr>
                <w:rFonts w:eastAsia="Times New Roman" w:cstheme="minorHAnsi"/>
                <w:lang w:eastAsia="en-IE"/>
              </w:rPr>
              <w:t xml:space="preserve">ertificates </w:t>
            </w:r>
            <w:r w:rsidR="004A0B76">
              <w:rPr>
                <w:rFonts w:eastAsia="Times New Roman" w:cstheme="minorHAnsi"/>
                <w:lang w:eastAsia="en-IE"/>
              </w:rPr>
              <w:t xml:space="preserve">are </w:t>
            </w:r>
            <w:r>
              <w:rPr>
                <w:rFonts w:eastAsia="Times New Roman" w:cstheme="minorHAnsi"/>
                <w:lang w:eastAsia="en-IE"/>
              </w:rPr>
              <w:t>issued by an inspection body approved</w:t>
            </w:r>
            <w:r w:rsidR="00555017">
              <w:rPr>
                <w:rFonts w:eastAsia="Times New Roman" w:cstheme="minorHAnsi"/>
                <w:lang w:eastAsia="en-IE"/>
              </w:rPr>
              <w:t xml:space="preserve"> or recognised</w:t>
            </w:r>
            <w:r>
              <w:rPr>
                <w:rFonts w:eastAsia="Times New Roman" w:cstheme="minorHAnsi"/>
                <w:lang w:eastAsia="en-IE"/>
              </w:rPr>
              <w:t xml:space="preserve"> by the competent authority</w:t>
            </w:r>
            <w:r w:rsidR="004A0B76">
              <w:rPr>
                <w:rFonts w:eastAsia="Times New Roman" w:cstheme="minorHAnsi"/>
                <w:lang w:eastAsia="en-IE"/>
              </w:rPr>
              <w:t xml:space="preserve"> in Ireland</w:t>
            </w:r>
            <w:r>
              <w:rPr>
                <w:rFonts w:eastAsia="Times New Roman" w:cstheme="minorHAnsi"/>
                <w:lang w:eastAsia="en-IE"/>
              </w:rPr>
              <w:t>.</w:t>
            </w:r>
          </w:p>
          <w:p w14:paraId="02BDDF82" w14:textId="375E4DF5" w:rsidR="00E4600F" w:rsidRDefault="00E4600F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</w:p>
        </w:tc>
      </w:tr>
      <w:tr w:rsidR="00E4600F" w14:paraId="3EABEC35" w14:textId="77777777" w:rsidTr="00BF79BF">
        <w:tc>
          <w:tcPr>
            <w:tcW w:w="2259" w:type="dxa"/>
          </w:tcPr>
          <w:p w14:paraId="734C6D96" w14:textId="22DC45F6" w:rsidR="00E4600F" w:rsidRDefault="00E4600F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In-service inspection reports/certificates</w:t>
            </w:r>
          </w:p>
        </w:tc>
        <w:tc>
          <w:tcPr>
            <w:tcW w:w="3406" w:type="dxa"/>
          </w:tcPr>
          <w:p w14:paraId="0A8D37A2" w14:textId="5440214C" w:rsidR="00E4600F" w:rsidRDefault="00E4600F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Every two and a half years:</w:t>
            </w:r>
          </w:p>
          <w:p w14:paraId="18516F14" w14:textId="77777777" w:rsidR="00E4600F" w:rsidRDefault="00E4600F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Report of results of inspection</w:t>
            </w:r>
          </w:p>
          <w:p w14:paraId="4055140D" w14:textId="03A97DF2" w:rsidR="00E4600F" w:rsidRPr="00FB403E" w:rsidRDefault="00E4600F" w:rsidP="00E4600F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 w:line="240" w:lineRule="auto"/>
              <w:mirrorIndents/>
              <w:rPr>
                <w:rFonts w:eastAsia="Times New Roman" w:cstheme="minorHAnsi"/>
                <w:lang w:eastAsia="en-IE"/>
              </w:rPr>
            </w:pPr>
            <w:r w:rsidRPr="00FB403E">
              <w:rPr>
                <w:rFonts w:eastAsia="Times New Roman" w:cstheme="minorHAnsi"/>
                <w:lang w:eastAsia="en-IE"/>
              </w:rPr>
              <w:t>External condition</w:t>
            </w:r>
          </w:p>
          <w:p w14:paraId="1D44042C" w14:textId="318F38E2" w:rsidR="00E4600F" w:rsidRDefault="00E4600F" w:rsidP="00E4600F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 w:line="240" w:lineRule="auto"/>
              <w:mirrorIndents/>
              <w:rPr>
                <w:rFonts w:eastAsia="Times New Roman" w:cstheme="minorHAnsi"/>
                <w:lang w:eastAsia="en-IE"/>
              </w:rPr>
            </w:pPr>
            <w:r w:rsidRPr="00FB403E">
              <w:rPr>
                <w:rFonts w:eastAsia="Times New Roman" w:cstheme="minorHAnsi"/>
                <w:lang w:eastAsia="en-IE"/>
              </w:rPr>
              <w:t xml:space="preserve">Proper functioning of service equipment </w:t>
            </w:r>
          </w:p>
          <w:p w14:paraId="5F05D1D0" w14:textId="74E5A6F8" w:rsidR="00E4600F" w:rsidRDefault="00E4600F" w:rsidP="00E4600F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 w:line="240" w:lineRule="auto"/>
              <w:mirrorIndents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Leakproofness test</w:t>
            </w:r>
          </w:p>
          <w:p w14:paraId="561D3487" w14:textId="77777777" w:rsidR="00942E59" w:rsidRDefault="00942E59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</w:p>
          <w:p w14:paraId="16D6F779" w14:textId="624D9A16" w:rsidR="00E4600F" w:rsidRDefault="00E4600F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Every five years:</w:t>
            </w:r>
          </w:p>
          <w:p w14:paraId="3CF29E97" w14:textId="412D7AED" w:rsidR="00E4600F" w:rsidRDefault="00E4600F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Report of results following checks and inspection:</w:t>
            </w:r>
          </w:p>
          <w:p w14:paraId="6F75E498" w14:textId="77777777" w:rsidR="00E4600F" w:rsidRDefault="00E4600F" w:rsidP="00E4600F">
            <w:pPr>
              <w:pStyle w:val="ListParagraph"/>
              <w:keepNext/>
              <w:keepLines/>
              <w:numPr>
                <w:ilvl w:val="0"/>
                <w:numId w:val="3"/>
              </w:numPr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 w:line="240" w:lineRule="auto"/>
              <w:mirrorIndents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Conformity to design type including marks</w:t>
            </w:r>
          </w:p>
          <w:p w14:paraId="18CF8A6A" w14:textId="77777777" w:rsidR="00E4600F" w:rsidRDefault="00E4600F" w:rsidP="00E4600F">
            <w:pPr>
              <w:pStyle w:val="ListParagraph"/>
              <w:keepNext/>
              <w:keepLines/>
              <w:numPr>
                <w:ilvl w:val="0"/>
                <w:numId w:val="3"/>
              </w:numPr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 w:line="240" w:lineRule="auto"/>
              <w:mirrorIndents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Internal and external condition</w:t>
            </w:r>
          </w:p>
          <w:p w14:paraId="6CFDCD43" w14:textId="77777777" w:rsidR="00E4600F" w:rsidRDefault="00E4600F" w:rsidP="00E4600F">
            <w:pPr>
              <w:pStyle w:val="ListParagraph"/>
              <w:keepNext/>
              <w:keepLines/>
              <w:numPr>
                <w:ilvl w:val="0"/>
                <w:numId w:val="3"/>
              </w:numPr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 w:line="240" w:lineRule="auto"/>
              <w:mirrorIndents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Proper functioning of service equipment</w:t>
            </w:r>
          </w:p>
          <w:p w14:paraId="5FB86B7D" w14:textId="19D03753" w:rsidR="00E4600F" w:rsidRDefault="00E4600F" w:rsidP="00E4600F">
            <w:pPr>
              <w:pStyle w:val="ListParagraph"/>
              <w:keepNext/>
              <w:keepLines/>
              <w:numPr>
                <w:ilvl w:val="0"/>
                <w:numId w:val="3"/>
              </w:numPr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 w:line="240" w:lineRule="auto"/>
              <w:mirrorIndents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Leakproofness test</w:t>
            </w:r>
          </w:p>
          <w:p w14:paraId="63E71A95" w14:textId="758F2D7F" w:rsidR="00E4600F" w:rsidRDefault="00E4600F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</w:p>
          <w:p w14:paraId="2AEB0E77" w14:textId="77777777" w:rsidR="00E4600F" w:rsidRDefault="00E4600F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Note: The reports of inspection must include the identity/mark of the competent person performing the inspection and test.</w:t>
            </w:r>
          </w:p>
          <w:p w14:paraId="7AB49893" w14:textId="1696AE25" w:rsidR="00E4600F" w:rsidRPr="00FB403E" w:rsidRDefault="00E4600F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Repaired IBCs must meet the full testing and inspection requirements set out above.</w:t>
            </w:r>
          </w:p>
          <w:p w14:paraId="56150F59" w14:textId="77777777" w:rsidR="00E4600F" w:rsidRDefault="00E4600F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</w:p>
        </w:tc>
        <w:tc>
          <w:tcPr>
            <w:tcW w:w="3351" w:type="dxa"/>
          </w:tcPr>
          <w:p w14:paraId="0395E8D0" w14:textId="77777777" w:rsidR="00E4600F" w:rsidRDefault="00E4600F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Every 6 years</w:t>
            </w:r>
          </w:p>
          <w:p w14:paraId="79CD6DA3" w14:textId="60BDB109" w:rsidR="00E4600F" w:rsidRDefault="00E4600F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Certificate of Periodic inspection</w:t>
            </w:r>
          </w:p>
          <w:p w14:paraId="7E602D8D" w14:textId="77777777" w:rsidR="00E4600F" w:rsidRDefault="00E4600F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</w:p>
          <w:p w14:paraId="54B83E42" w14:textId="77777777" w:rsidR="00E4600F" w:rsidRDefault="00E4600F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</w:p>
          <w:p w14:paraId="0000737A" w14:textId="77777777" w:rsidR="00E4600F" w:rsidRDefault="00E4600F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</w:p>
          <w:p w14:paraId="2E7A5A1B" w14:textId="77777777" w:rsidR="00E4600F" w:rsidRDefault="00E4600F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</w:p>
          <w:p w14:paraId="205E49EB" w14:textId="2C5AB263" w:rsidR="00E4600F" w:rsidRDefault="00E4600F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At least every 3 years after the initial inspection and each periodic inspection</w:t>
            </w:r>
          </w:p>
          <w:p w14:paraId="00FAACEA" w14:textId="5C4B1CB3" w:rsidR="00E4600F" w:rsidRDefault="00E4600F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Certificate of intermediate inspection</w:t>
            </w:r>
          </w:p>
          <w:p w14:paraId="43925771" w14:textId="77777777" w:rsidR="00E4600F" w:rsidRDefault="00E4600F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</w:p>
          <w:p w14:paraId="6A0EB561" w14:textId="77777777" w:rsidR="00E4600F" w:rsidRDefault="00E4600F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</w:p>
          <w:p w14:paraId="367684AA" w14:textId="77777777" w:rsidR="00E4600F" w:rsidRDefault="00E4600F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</w:p>
          <w:p w14:paraId="649644C4" w14:textId="77777777" w:rsidR="00E4600F" w:rsidRDefault="00E4600F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</w:p>
          <w:p w14:paraId="4960D759" w14:textId="572B0D01" w:rsidR="00E4600F" w:rsidRDefault="00E4600F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 xml:space="preserve">Note: All </w:t>
            </w:r>
            <w:r w:rsidR="004A0B76">
              <w:rPr>
                <w:rFonts w:eastAsia="Times New Roman" w:cstheme="minorHAnsi"/>
                <w:lang w:eastAsia="en-IE"/>
              </w:rPr>
              <w:t xml:space="preserve">tank </w:t>
            </w:r>
            <w:r>
              <w:rPr>
                <w:rFonts w:eastAsia="Times New Roman" w:cstheme="minorHAnsi"/>
                <w:lang w:eastAsia="en-IE"/>
              </w:rPr>
              <w:t xml:space="preserve">inspections </w:t>
            </w:r>
            <w:r w:rsidR="004A0B76">
              <w:rPr>
                <w:rFonts w:eastAsia="Times New Roman" w:cstheme="minorHAnsi"/>
                <w:lang w:eastAsia="en-IE"/>
              </w:rPr>
              <w:t xml:space="preserve">are </w:t>
            </w:r>
            <w:r>
              <w:rPr>
                <w:rFonts w:eastAsia="Times New Roman" w:cstheme="minorHAnsi"/>
                <w:lang w:eastAsia="en-IE"/>
              </w:rPr>
              <w:t>performed and certificates</w:t>
            </w:r>
            <w:r w:rsidR="004A0B76">
              <w:rPr>
                <w:rFonts w:eastAsia="Times New Roman" w:cstheme="minorHAnsi"/>
                <w:lang w:eastAsia="en-IE"/>
              </w:rPr>
              <w:t xml:space="preserve"> are</w:t>
            </w:r>
            <w:r>
              <w:rPr>
                <w:rFonts w:eastAsia="Times New Roman" w:cstheme="minorHAnsi"/>
                <w:lang w:eastAsia="en-IE"/>
              </w:rPr>
              <w:t xml:space="preserve"> issued by an inspection body approved</w:t>
            </w:r>
            <w:r w:rsidR="00555017">
              <w:rPr>
                <w:rFonts w:eastAsia="Times New Roman" w:cstheme="minorHAnsi"/>
                <w:lang w:eastAsia="en-IE"/>
              </w:rPr>
              <w:t xml:space="preserve"> or recognised</w:t>
            </w:r>
            <w:r>
              <w:rPr>
                <w:rFonts w:eastAsia="Times New Roman" w:cstheme="minorHAnsi"/>
                <w:lang w:eastAsia="en-IE"/>
              </w:rPr>
              <w:t xml:space="preserve"> by the competent authority</w:t>
            </w:r>
            <w:r w:rsidR="004A0B76">
              <w:rPr>
                <w:rFonts w:eastAsia="Times New Roman" w:cstheme="minorHAnsi"/>
                <w:lang w:eastAsia="en-IE"/>
              </w:rPr>
              <w:t xml:space="preserve"> in Ireland</w:t>
            </w:r>
            <w:r>
              <w:rPr>
                <w:rFonts w:eastAsia="Times New Roman" w:cstheme="minorHAnsi"/>
                <w:lang w:eastAsia="en-IE"/>
              </w:rPr>
              <w:t>.</w:t>
            </w:r>
          </w:p>
          <w:p w14:paraId="65B346E7" w14:textId="6E09A260" w:rsidR="00E4600F" w:rsidRDefault="00E4600F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Repaired tanks may require a certificate of exceptional inspection.</w:t>
            </w:r>
          </w:p>
          <w:p w14:paraId="2BC84FD8" w14:textId="5DD99648" w:rsidR="00E4600F" w:rsidRDefault="00E4600F" w:rsidP="00E4600F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</w:p>
        </w:tc>
      </w:tr>
      <w:tr w:rsidR="00942E59" w14:paraId="42652DCD" w14:textId="77777777" w:rsidTr="00BF79BF">
        <w:tc>
          <w:tcPr>
            <w:tcW w:w="2259" w:type="dxa"/>
          </w:tcPr>
          <w:p w14:paraId="64919152" w14:textId="48B772DE" w:rsidR="00942E59" w:rsidRDefault="00942E59" w:rsidP="00942E59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Additional Certificate if applicable</w:t>
            </w:r>
          </w:p>
        </w:tc>
        <w:tc>
          <w:tcPr>
            <w:tcW w:w="3406" w:type="dxa"/>
          </w:tcPr>
          <w:p w14:paraId="3F80D3B3" w14:textId="77777777" w:rsidR="00942E59" w:rsidRDefault="00942E59" w:rsidP="00942E59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</w:p>
        </w:tc>
        <w:tc>
          <w:tcPr>
            <w:tcW w:w="3351" w:type="dxa"/>
          </w:tcPr>
          <w:p w14:paraId="4C465CDB" w14:textId="57D4912C" w:rsidR="00942E59" w:rsidRDefault="00942E59" w:rsidP="00942E59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  <w:r w:rsidRPr="00D06E2C">
              <w:rPr>
                <w:rFonts w:eastAsia="Times New Roman" w:cstheme="minorHAnsi"/>
                <w:lang w:eastAsia="en-IE"/>
              </w:rPr>
              <w:t>Vehicle certificate of approval issued by the RSA</w:t>
            </w:r>
            <w:r>
              <w:rPr>
                <w:rFonts w:eastAsia="Times New Roman" w:cstheme="minorHAnsi"/>
                <w:lang w:eastAsia="en-IE"/>
              </w:rPr>
              <w:t>.  Towing vehicle or</w:t>
            </w:r>
            <w:r w:rsidRPr="00D06E2C">
              <w:rPr>
                <w:rFonts w:eastAsia="Times New Roman" w:cstheme="minorHAnsi"/>
                <w:lang w:eastAsia="en-IE"/>
              </w:rPr>
              <w:t xml:space="preserve"> tank vehicle must be </w:t>
            </w:r>
            <w:r w:rsidRPr="005C6DD4">
              <w:rPr>
                <w:rFonts w:cstheme="minorHAnsi"/>
                <w:shd w:val="clear" w:color="auto" w:fill="FFFFFF"/>
              </w:rPr>
              <w:t>either AT or FL spec (ADR 9.1.2.3)</w:t>
            </w:r>
            <w:r w:rsidR="00B42276">
              <w:rPr>
                <w:rFonts w:cstheme="minorHAnsi"/>
                <w:shd w:val="clear" w:color="auto" w:fill="FFFFFF"/>
              </w:rPr>
              <w:t>.</w:t>
            </w:r>
          </w:p>
        </w:tc>
      </w:tr>
      <w:tr w:rsidR="00942E59" w14:paraId="0B5D81B5" w14:textId="77777777" w:rsidTr="00BF79BF">
        <w:tc>
          <w:tcPr>
            <w:tcW w:w="2259" w:type="dxa"/>
          </w:tcPr>
          <w:p w14:paraId="33FFE9F0" w14:textId="39AF6C46" w:rsidR="00942E59" w:rsidRDefault="00942E59" w:rsidP="00942E59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lastRenderedPageBreak/>
              <w:t>UN marking and labelling of IBC</w:t>
            </w:r>
          </w:p>
        </w:tc>
        <w:tc>
          <w:tcPr>
            <w:tcW w:w="3406" w:type="dxa"/>
          </w:tcPr>
          <w:p w14:paraId="7D0BF07C" w14:textId="3353DC97" w:rsidR="00942E59" w:rsidRDefault="00942E59" w:rsidP="00942E59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 xml:space="preserve">For </w:t>
            </w:r>
            <w:r w:rsidR="00E6583A">
              <w:rPr>
                <w:rFonts w:eastAsia="Times New Roman" w:cstheme="minorHAnsi"/>
                <w:lang w:eastAsia="en-IE"/>
              </w:rPr>
              <w:t xml:space="preserve">an </w:t>
            </w:r>
            <w:r>
              <w:rPr>
                <w:rFonts w:eastAsia="Times New Roman" w:cstheme="minorHAnsi"/>
                <w:lang w:eastAsia="en-IE"/>
              </w:rPr>
              <w:t xml:space="preserve">IBC with </w:t>
            </w:r>
            <w:r w:rsidR="00E6583A">
              <w:rPr>
                <w:rFonts w:eastAsia="Times New Roman" w:cstheme="minorHAnsi"/>
                <w:lang w:eastAsia="en-IE"/>
              </w:rPr>
              <w:t xml:space="preserve">a </w:t>
            </w:r>
            <w:r>
              <w:rPr>
                <w:rFonts w:eastAsia="Times New Roman" w:cstheme="minorHAnsi"/>
                <w:lang w:eastAsia="en-IE"/>
              </w:rPr>
              <w:t xml:space="preserve">capacity of </w:t>
            </w:r>
            <w:r w:rsidR="00E6583A">
              <w:rPr>
                <w:rFonts w:eastAsia="Times New Roman" w:cstheme="minorHAnsi"/>
                <w:lang w:eastAsia="en-IE"/>
              </w:rPr>
              <w:t xml:space="preserve">greater than </w:t>
            </w:r>
            <w:r>
              <w:rPr>
                <w:rFonts w:eastAsia="Times New Roman" w:cstheme="minorHAnsi"/>
                <w:lang w:eastAsia="en-IE"/>
              </w:rPr>
              <w:t>450L, it mu</w:t>
            </w:r>
            <w:r w:rsidR="00D91F10">
              <w:rPr>
                <w:rFonts w:eastAsia="Times New Roman" w:cstheme="minorHAnsi"/>
                <w:lang w:eastAsia="en-IE"/>
              </w:rPr>
              <w:t xml:space="preserve">st </w:t>
            </w:r>
            <w:r w:rsidR="00E6583A">
              <w:rPr>
                <w:rFonts w:eastAsia="Times New Roman" w:cstheme="minorHAnsi"/>
                <w:lang w:eastAsia="en-IE"/>
              </w:rPr>
              <w:t>show</w:t>
            </w:r>
            <w:r w:rsidR="00D91F10">
              <w:rPr>
                <w:rFonts w:eastAsia="Times New Roman" w:cstheme="minorHAnsi"/>
                <w:lang w:eastAsia="en-IE"/>
              </w:rPr>
              <w:t xml:space="preserve"> the </w:t>
            </w:r>
            <w:r w:rsidRPr="00D91F10">
              <w:rPr>
                <w:rFonts w:eastAsia="Times New Roman" w:cstheme="minorHAnsi"/>
                <w:lang w:eastAsia="en-IE"/>
              </w:rPr>
              <w:t>UN number for the dangerous goods</w:t>
            </w:r>
            <w:r w:rsidR="00E6583A">
              <w:rPr>
                <w:rFonts w:eastAsia="Times New Roman" w:cstheme="minorHAnsi"/>
                <w:lang w:eastAsia="en-IE"/>
              </w:rPr>
              <w:t xml:space="preserve"> on two opposite sides</w:t>
            </w:r>
            <w:r w:rsidR="006E6312">
              <w:rPr>
                <w:rFonts w:eastAsia="Times New Roman" w:cstheme="minorHAnsi"/>
                <w:lang w:eastAsia="en-IE"/>
              </w:rPr>
              <w:t xml:space="preserve"> and </w:t>
            </w:r>
            <w:r w:rsidR="00716C82">
              <w:rPr>
                <w:rFonts w:eastAsia="Times New Roman" w:cstheme="minorHAnsi"/>
                <w:lang w:eastAsia="en-IE"/>
              </w:rPr>
              <w:t xml:space="preserve">be fitted with the </w:t>
            </w:r>
            <w:r w:rsidRPr="004D38C1">
              <w:rPr>
                <w:rFonts w:eastAsia="Times New Roman" w:cstheme="minorHAnsi"/>
                <w:lang w:eastAsia="en-IE"/>
              </w:rPr>
              <w:t>Class 3 label and</w:t>
            </w:r>
            <w:r w:rsidR="00716C82">
              <w:rPr>
                <w:rFonts w:eastAsia="Times New Roman" w:cstheme="minorHAnsi"/>
                <w:lang w:eastAsia="en-IE"/>
              </w:rPr>
              <w:t xml:space="preserve"> the</w:t>
            </w:r>
            <w:r w:rsidRPr="004D38C1">
              <w:rPr>
                <w:rFonts w:eastAsia="Times New Roman" w:cstheme="minorHAnsi"/>
                <w:lang w:eastAsia="en-IE"/>
              </w:rPr>
              <w:t xml:space="preserve"> environmentally hazardous substance mark</w:t>
            </w:r>
            <w:r w:rsidR="00B42276">
              <w:rPr>
                <w:rFonts w:eastAsia="Times New Roman" w:cstheme="minorHAnsi"/>
                <w:lang w:eastAsia="en-IE"/>
              </w:rPr>
              <w:t>.</w:t>
            </w:r>
            <w:r w:rsidRPr="004D38C1">
              <w:rPr>
                <w:rFonts w:eastAsia="Times New Roman" w:cstheme="minorHAnsi"/>
                <w:lang w:eastAsia="en-IE"/>
              </w:rPr>
              <w:t xml:space="preserve"> </w:t>
            </w:r>
          </w:p>
          <w:p w14:paraId="7BBE5E7F" w14:textId="0B2F33A7" w:rsidR="00D91F10" w:rsidRDefault="00E6583A" w:rsidP="001E5239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F</w:t>
            </w:r>
            <w:r w:rsidR="00D91F10">
              <w:rPr>
                <w:rFonts w:eastAsia="Times New Roman" w:cstheme="minorHAnsi"/>
                <w:lang w:eastAsia="en-IE"/>
              </w:rPr>
              <w:t xml:space="preserve">or diesel carried in quantities above 1000L and petrol in quantities above 333L, blank orange plates must be fitted to the front </w:t>
            </w:r>
            <w:r w:rsidR="00716C82">
              <w:rPr>
                <w:rFonts w:eastAsia="Times New Roman" w:cstheme="minorHAnsi"/>
                <w:lang w:eastAsia="en-IE"/>
              </w:rPr>
              <w:t xml:space="preserve">of </w:t>
            </w:r>
            <w:r w:rsidR="00D91F10">
              <w:rPr>
                <w:rFonts w:eastAsia="Times New Roman" w:cstheme="minorHAnsi"/>
                <w:lang w:eastAsia="en-IE"/>
              </w:rPr>
              <w:t>the towing vehicle and the rear of the IBC</w:t>
            </w:r>
            <w:r w:rsidR="00B42276">
              <w:rPr>
                <w:rFonts w:eastAsia="Times New Roman" w:cstheme="minorHAnsi"/>
                <w:lang w:eastAsia="en-IE"/>
              </w:rPr>
              <w:t>.</w:t>
            </w:r>
            <w:r w:rsidR="00D91F10">
              <w:rPr>
                <w:rFonts w:eastAsia="Times New Roman" w:cstheme="minorHAnsi"/>
                <w:lang w:eastAsia="en-IE"/>
              </w:rPr>
              <w:t xml:space="preserve"> </w:t>
            </w:r>
          </w:p>
        </w:tc>
        <w:tc>
          <w:tcPr>
            <w:tcW w:w="3351" w:type="dxa"/>
          </w:tcPr>
          <w:p w14:paraId="513C24D3" w14:textId="77777777" w:rsidR="00942E59" w:rsidRDefault="00942E59" w:rsidP="00942E59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</w:p>
        </w:tc>
      </w:tr>
      <w:tr w:rsidR="00942E59" w14:paraId="496F9A93" w14:textId="77777777" w:rsidTr="00BF79BF">
        <w:tc>
          <w:tcPr>
            <w:tcW w:w="2259" w:type="dxa"/>
          </w:tcPr>
          <w:p w14:paraId="6F818E6D" w14:textId="60329444" w:rsidR="00942E59" w:rsidRDefault="00942E59" w:rsidP="00942E59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Placarding and marking of tank</w:t>
            </w:r>
          </w:p>
        </w:tc>
        <w:tc>
          <w:tcPr>
            <w:tcW w:w="3406" w:type="dxa"/>
          </w:tcPr>
          <w:p w14:paraId="5841EB33" w14:textId="77777777" w:rsidR="00942E59" w:rsidRDefault="00942E59" w:rsidP="00942E59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</w:p>
        </w:tc>
        <w:tc>
          <w:tcPr>
            <w:tcW w:w="3351" w:type="dxa"/>
          </w:tcPr>
          <w:p w14:paraId="0F6EDB5C" w14:textId="707CED8E" w:rsidR="00942E59" w:rsidRDefault="00E6583A" w:rsidP="00942E59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 xml:space="preserve">It must be fitted with the </w:t>
            </w:r>
            <w:r w:rsidR="00942E59">
              <w:rPr>
                <w:rFonts w:eastAsia="Times New Roman" w:cstheme="minorHAnsi"/>
                <w:lang w:eastAsia="en-IE"/>
              </w:rPr>
              <w:t>Class 3</w:t>
            </w:r>
            <w:r w:rsidR="00942E59" w:rsidRPr="004D38C1">
              <w:rPr>
                <w:rFonts w:eastAsia="Times New Roman" w:cstheme="minorHAnsi"/>
                <w:lang w:eastAsia="en-IE"/>
              </w:rPr>
              <w:t xml:space="preserve"> and environmentally </w:t>
            </w:r>
            <w:r w:rsidR="00942E59">
              <w:rPr>
                <w:rFonts w:eastAsia="Times New Roman" w:cstheme="minorHAnsi"/>
                <w:lang w:eastAsia="en-IE"/>
              </w:rPr>
              <w:t>hazardous substance placards on two sides and the rear</w:t>
            </w:r>
            <w:r w:rsidR="00B42276">
              <w:rPr>
                <w:rFonts w:eastAsia="Times New Roman" w:cstheme="minorHAnsi"/>
                <w:lang w:eastAsia="en-IE"/>
              </w:rPr>
              <w:t>.</w:t>
            </w:r>
          </w:p>
          <w:p w14:paraId="73E8EA40" w14:textId="03B25FE5" w:rsidR="00942E59" w:rsidRDefault="00E6583A" w:rsidP="00942E59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 xml:space="preserve">It must be have </w:t>
            </w:r>
            <w:r w:rsidR="00942E59">
              <w:rPr>
                <w:rFonts w:eastAsia="Times New Roman" w:cstheme="minorHAnsi"/>
                <w:lang w:eastAsia="en-IE"/>
              </w:rPr>
              <w:t>ADR numbered orange plates front and rear</w:t>
            </w:r>
            <w:r w:rsidR="00CB5D67">
              <w:rPr>
                <w:rFonts w:eastAsia="Times New Roman" w:cstheme="minorHAnsi"/>
                <w:lang w:eastAsia="en-IE"/>
              </w:rPr>
              <w:t xml:space="preserve"> (alternative plating provisions </w:t>
            </w:r>
            <w:r>
              <w:rPr>
                <w:rFonts w:eastAsia="Times New Roman" w:cstheme="minorHAnsi"/>
                <w:lang w:eastAsia="en-IE"/>
              </w:rPr>
              <w:t xml:space="preserve">are </w:t>
            </w:r>
            <w:r w:rsidR="00CB5D67">
              <w:rPr>
                <w:rFonts w:eastAsia="Times New Roman" w:cstheme="minorHAnsi"/>
                <w:lang w:eastAsia="en-IE"/>
              </w:rPr>
              <w:t xml:space="preserve">also permitted in ADR – consult with </w:t>
            </w:r>
            <w:r>
              <w:rPr>
                <w:rFonts w:eastAsia="Times New Roman" w:cstheme="minorHAnsi"/>
                <w:lang w:eastAsia="en-IE"/>
              </w:rPr>
              <w:t xml:space="preserve">a </w:t>
            </w:r>
            <w:r w:rsidR="00CB5D67">
              <w:rPr>
                <w:rFonts w:eastAsia="Times New Roman" w:cstheme="minorHAnsi"/>
                <w:lang w:eastAsia="en-IE"/>
              </w:rPr>
              <w:t>DGSA</w:t>
            </w:r>
            <w:r>
              <w:rPr>
                <w:rFonts w:eastAsia="Times New Roman" w:cstheme="minorHAnsi"/>
                <w:lang w:eastAsia="en-IE"/>
              </w:rPr>
              <w:t xml:space="preserve"> for further information</w:t>
            </w:r>
            <w:r w:rsidR="00CB5D67">
              <w:rPr>
                <w:rFonts w:eastAsia="Times New Roman" w:cstheme="minorHAnsi"/>
                <w:lang w:eastAsia="en-IE"/>
              </w:rPr>
              <w:t>)</w:t>
            </w:r>
            <w:r w:rsidR="00B42276">
              <w:rPr>
                <w:rFonts w:eastAsia="Times New Roman" w:cstheme="minorHAnsi"/>
                <w:lang w:eastAsia="en-IE"/>
              </w:rPr>
              <w:t>.</w:t>
            </w:r>
          </w:p>
        </w:tc>
      </w:tr>
      <w:tr w:rsidR="006E6312" w14:paraId="6E94F48D" w14:textId="77777777" w:rsidTr="0043281E">
        <w:tc>
          <w:tcPr>
            <w:tcW w:w="9016" w:type="dxa"/>
            <w:gridSpan w:val="3"/>
          </w:tcPr>
          <w:p w14:paraId="70119BDA" w14:textId="7DD30307" w:rsidR="006E6312" w:rsidRPr="006E6312" w:rsidRDefault="006E6312" w:rsidP="006E6312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/>
                <w:lang w:val="en-GB"/>
              </w:rPr>
            </w:pPr>
            <w:r w:rsidRPr="006E6312">
              <w:rPr>
                <w:rFonts w:eastAsia="Times New Roman"/>
                <w:color w:val="000000"/>
              </w:rPr>
              <w:t>Ensure risk assessments are completed for the safe handling and carriage of fuels and the necessary controls are put in place.  </w:t>
            </w:r>
          </w:p>
        </w:tc>
      </w:tr>
      <w:tr w:rsidR="006E6312" w14:paraId="7A873213" w14:textId="77777777" w:rsidTr="009B3963">
        <w:tc>
          <w:tcPr>
            <w:tcW w:w="9016" w:type="dxa"/>
            <w:gridSpan w:val="3"/>
          </w:tcPr>
          <w:p w14:paraId="74AF0CB3" w14:textId="221E1286" w:rsidR="006E6312" w:rsidRPr="006E6312" w:rsidRDefault="006E6312" w:rsidP="00E6583A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  <w:r w:rsidRPr="006E6312">
              <w:rPr>
                <w:rFonts w:eastAsia="Times New Roman"/>
                <w:lang w:val="en-GB"/>
              </w:rPr>
              <w:t>Ensure safe loading and unloading procedures are developed for all ‘bowsers’ and drivers are trained in these procedures.</w:t>
            </w:r>
          </w:p>
        </w:tc>
      </w:tr>
      <w:tr w:rsidR="006E6312" w14:paraId="68B688FF" w14:textId="77777777" w:rsidTr="001E6214">
        <w:tc>
          <w:tcPr>
            <w:tcW w:w="9016" w:type="dxa"/>
            <w:gridSpan w:val="3"/>
          </w:tcPr>
          <w:p w14:paraId="2483A0A4" w14:textId="10450FC0" w:rsidR="006E6312" w:rsidRPr="006E6312" w:rsidRDefault="006E6312" w:rsidP="00E6583A">
            <w:pPr>
              <w:keepNext/>
              <w:keepLines/>
              <w:tabs>
                <w:tab w:val="left" w:pos="-720"/>
                <w:tab w:val="left" w:pos="-324"/>
                <w:tab w:val="left" w:pos="1985"/>
                <w:tab w:val="left" w:pos="2552"/>
                <w:tab w:val="left" w:pos="311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120"/>
              <w:mirrorIndents/>
              <w:rPr>
                <w:rFonts w:eastAsia="Times New Roman" w:cstheme="minorHAnsi"/>
                <w:lang w:eastAsia="en-IE"/>
              </w:rPr>
            </w:pPr>
            <w:r w:rsidRPr="006E6312">
              <w:rPr>
                <w:rFonts w:eastAsia="Times New Roman"/>
                <w:lang w:val="en-GB"/>
              </w:rPr>
              <w:t>Ensure a Transport Document is provided by the consignor to the driver and is aboard the vehicle when transporting the fuel on a public road. This is also required when the IBC or tank is empty uncleaned.</w:t>
            </w:r>
          </w:p>
        </w:tc>
      </w:tr>
    </w:tbl>
    <w:p w14:paraId="017195F4" w14:textId="77777777" w:rsidR="00DA1BED" w:rsidRDefault="00DA1BED" w:rsidP="00BF79BF">
      <w:pPr>
        <w:keepNext/>
        <w:keepLines/>
        <w:tabs>
          <w:tab w:val="left" w:pos="-720"/>
          <w:tab w:val="left" w:pos="-324"/>
          <w:tab w:val="left" w:pos="1985"/>
          <w:tab w:val="left" w:pos="2552"/>
          <w:tab w:val="left" w:pos="311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120" w:line="240" w:lineRule="auto"/>
        <w:mirrorIndents/>
        <w:rPr>
          <w:rFonts w:eastAsia="Times New Roman" w:cstheme="minorHAnsi"/>
          <w:lang w:eastAsia="en-IE"/>
        </w:rPr>
      </w:pPr>
    </w:p>
    <w:p w14:paraId="4E4DD2D0" w14:textId="1A9D4D75" w:rsidR="00826B73" w:rsidRDefault="00826B73" w:rsidP="00BB5BDB">
      <w:pPr>
        <w:keepNext/>
        <w:keepLines/>
        <w:tabs>
          <w:tab w:val="left" w:pos="-720"/>
          <w:tab w:val="left" w:pos="-324"/>
          <w:tab w:val="left" w:pos="1985"/>
          <w:tab w:val="left" w:pos="2552"/>
          <w:tab w:val="left" w:pos="311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120"/>
        <w:mirrorIndents/>
        <w:jc w:val="both"/>
        <w:rPr>
          <w:rFonts w:eastAsia="Times New Roman" w:cstheme="minorHAnsi"/>
          <w:lang w:eastAsia="en-IE"/>
        </w:rPr>
      </w:pPr>
    </w:p>
    <w:p w14:paraId="46CDF15F" w14:textId="7B6ABB0D" w:rsidR="004D63B2" w:rsidRDefault="004D63B2" w:rsidP="004D63B2">
      <w:pPr>
        <w:rPr>
          <w:lang w:val="en-US"/>
        </w:rPr>
      </w:pPr>
      <w:r>
        <w:rPr>
          <w:sz w:val="24"/>
          <w:szCs w:val="24"/>
          <w:lang w:eastAsia="en-IE"/>
        </w:rPr>
        <w:t xml:space="preserve">Note: </w:t>
      </w:r>
      <w:r w:rsidRPr="00942E59">
        <w:rPr>
          <w:sz w:val="24"/>
          <w:szCs w:val="24"/>
          <w:lang w:eastAsia="en-IE"/>
        </w:rPr>
        <w:t>Explanation of UN code elements for IBC</w:t>
      </w:r>
      <w:r w:rsidRPr="004D63B2">
        <w:rPr>
          <w:lang w:val="en-US"/>
        </w:rPr>
        <w:t xml:space="preserve"> </w:t>
      </w:r>
    </w:p>
    <w:p w14:paraId="6A280D20" w14:textId="7E9B0151" w:rsidR="004D63B2" w:rsidRPr="00942E59" w:rsidRDefault="004D63B2" w:rsidP="004D63B2">
      <w:pPr>
        <w:spacing w:line="240" w:lineRule="auto"/>
        <w:rPr>
          <w:sz w:val="24"/>
          <w:szCs w:val="24"/>
        </w:rPr>
      </w:pPr>
      <w:r w:rsidRPr="00942E59">
        <w:rPr>
          <w:b/>
          <w:sz w:val="24"/>
          <w:szCs w:val="24"/>
        </w:rPr>
        <w:t xml:space="preserve">UN </w:t>
      </w:r>
      <w:r w:rsidRPr="00942E59">
        <w:rPr>
          <w:sz w:val="24"/>
          <w:szCs w:val="24"/>
        </w:rPr>
        <w:t xml:space="preserve">  31B/Y/0518/D/AZB/3000/1200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1"/>
        <w:gridCol w:w="6842"/>
      </w:tblGrid>
      <w:tr w:rsidR="004D63B2" w14:paraId="5FFA98F0" w14:textId="77777777" w:rsidTr="002F43EE">
        <w:trPr>
          <w:trHeight w:val="406"/>
        </w:trPr>
        <w:tc>
          <w:tcPr>
            <w:tcW w:w="1091" w:type="dxa"/>
          </w:tcPr>
          <w:p w14:paraId="1D8C6F1A" w14:textId="77777777" w:rsidR="004D63B2" w:rsidRPr="00EB4024" w:rsidRDefault="004D63B2" w:rsidP="002F43EE">
            <w:pPr>
              <w:rPr>
                <w:sz w:val="28"/>
                <w:szCs w:val="28"/>
              </w:rPr>
            </w:pPr>
            <w:r w:rsidRPr="00A94CB4">
              <w:rPr>
                <w:b/>
              </w:rPr>
              <w:t>UN</w:t>
            </w:r>
            <w:r w:rsidRPr="00A94CB4">
              <w:tab/>
            </w:r>
          </w:p>
        </w:tc>
        <w:tc>
          <w:tcPr>
            <w:tcW w:w="6842" w:type="dxa"/>
          </w:tcPr>
          <w:p w14:paraId="19A1670A" w14:textId="6AF63843" w:rsidR="004D63B2" w:rsidRPr="00EB4024" w:rsidRDefault="004D63B2" w:rsidP="006E6312">
            <w:pPr>
              <w:rPr>
                <w:b/>
                <w:sz w:val="28"/>
                <w:szCs w:val="28"/>
              </w:rPr>
            </w:pPr>
            <w:r w:rsidRPr="00A94CB4">
              <w:t>The United Nations packaging symbol</w:t>
            </w:r>
          </w:p>
        </w:tc>
      </w:tr>
      <w:tr w:rsidR="004D63B2" w14:paraId="3F1A9428" w14:textId="77777777" w:rsidTr="002F43EE">
        <w:tc>
          <w:tcPr>
            <w:tcW w:w="1091" w:type="dxa"/>
          </w:tcPr>
          <w:p w14:paraId="2BCA12C5" w14:textId="77777777" w:rsidR="004D63B2" w:rsidRPr="00EB4024" w:rsidRDefault="004D63B2" w:rsidP="002F43EE">
            <w:pPr>
              <w:rPr>
                <w:sz w:val="28"/>
                <w:szCs w:val="28"/>
              </w:rPr>
            </w:pPr>
            <w:r>
              <w:rPr>
                <w:b/>
              </w:rPr>
              <w:t>31B</w:t>
            </w:r>
          </w:p>
        </w:tc>
        <w:tc>
          <w:tcPr>
            <w:tcW w:w="6842" w:type="dxa"/>
          </w:tcPr>
          <w:p w14:paraId="023ED268" w14:textId="77777777" w:rsidR="004D63B2" w:rsidRPr="00EB4024" w:rsidRDefault="004D63B2" w:rsidP="002F43EE">
            <w:pPr>
              <w:rPr>
                <w:b/>
                <w:sz w:val="28"/>
                <w:szCs w:val="28"/>
              </w:rPr>
            </w:pPr>
            <w:r>
              <w:t>Aluminium IBC for liquids</w:t>
            </w:r>
          </w:p>
        </w:tc>
      </w:tr>
      <w:tr w:rsidR="004D63B2" w14:paraId="7729E69E" w14:textId="77777777" w:rsidTr="002F43EE">
        <w:tc>
          <w:tcPr>
            <w:tcW w:w="1091" w:type="dxa"/>
          </w:tcPr>
          <w:p w14:paraId="79B29B18" w14:textId="77777777" w:rsidR="004D63B2" w:rsidRPr="00A94CB4" w:rsidRDefault="004D63B2" w:rsidP="002F43EE">
            <w:pPr>
              <w:rPr>
                <w:b/>
              </w:rPr>
            </w:pPr>
            <w:r w:rsidRPr="00A94CB4">
              <w:rPr>
                <w:b/>
              </w:rPr>
              <w:t>Y</w:t>
            </w:r>
          </w:p>
        </w:tc>
        <w:tc>
          <w:tcPr>
            <w:tcW w:w="6842" w:type="dxa"/>
          </w:tcPr>
          <w:p w14:paraId="53F4F362" w14:textId="77777777" w:rsidR="004D63B2" w:rsidRPr="00A94CB4" w:rsidRDefault="004D63B2" w:rsidP="002F43EE">
            <w:r w:rsidRPr="00A94CB4">
              <w:t>For Packing Groups II and III</w:t>
            </w:r>
          </w:p>
        </w:tc>
      </w:tr>
      <w:tr w:rsidR="004D63B2" w14:paraId="3E3C1191" w14:textId="77777777" w:rsidTr="002F43EE">
        <w:tc>
          <w:tcPr>
            <w:tcW w:w="1091" w:type="dxa"/>
          </w:tcPr>
          <w:p w14:paraId="1D812A72" w14:textId="77777777" w:rsidR="004D63B2" w:rsidRPr="00A94CB4" w:rsidRDefault="004D63B2" w:rsidP="002F43EE">
            <w:pPr>
              <w:rPr>
                <w:b/>
              </w:rPr>
            </w:pPr>
            <w:r>
              <w:rPr>
                <w:b/>
              </w:rPr>
              <w:t>05</w:t>
            </w:r>
            <w:r w:rsidRPr="00A94CB4">
              <w:rPr>
                <w:b/>
              </w:rPr>
              <w:t>18</w:t>
            </w:r>
            <w:r w:rsidRPr="00A94CB4">
              <w:tab/>
            </w:r>
          </w:p>
        </w:tc>
        <w:tc>
          <w:tcPr>
            <w:tcW w:w="6842" w:type="dxa"/>
          </w:tcPr>
          <w:p w14:paraId="7F461261" w14:textId="77777777" w:rsidR="004D63B2" w:rsidRPr="00A94CB4" w:rsidRDefault="004D63B2" w:rsidP="002F43EE">
            <w:r>
              <w:t>The month and year of</w:t>
            </w:r>
            <w:r w:rsidRPr="00A94CB4">
              <w:t xml:space="preserve"> manufacture</w:t>
            </w:r>
          </w:p>
        </w:tc>
      </w:tr>
      <w:tr w:rsidR="004D63B2" w14:paraId="58C5E385" w14:textId="77777777" w:rsidTr="002F43EE">
        <w:tc>
          <w:tcPr>
            <w:tcW w:w="1091" w:type="dxa"/>
          </w:tcPr>
          <w:p w14:paraId="217ACB1C" w14:textId="77777777" w:rsidR="004D63B2" w:rsidRPr="00A94CB4" w:rsidRDefault="004D63B2" w:rsidP="002F43EE">
            <w:pPr>
              <w:rPr>
                <w:b/>
              </w:rPr>
            </w:pPr>
            <w:r w:rsidRPr="00A94CB4">
              <w:rPr>
                <w:b/>
              </w:rPr>
              <w:t>D</w:t>
            </w:r>
            <w:r w:rsidRPr="00A94CB4">
              <w:tab/>
            </w:r>
          </w:p>
        </w:tc>
        <w:tc>
          <w:tcPr>
            <w:tcW w:w="6842" w:type="dxa"/>
          </w:tcPr>
          <w:p w14:paraId="7ECEA611" w14:textId="77777777" w:rsidR="004D63B2" w:rsidRPr="00A94CB4" w:rsidRDefault="004D63B2" w:rsidP="002F43EE">
            <w:r w:rsidRPr="00A94CB4">
              <w:t>The state authorising the allocation of the mark</w:t>
            </w:r>
          </w:p>
        </w:tc>
      </w:tr>
      <w:tr w:rsidR="004D63B2" w14:paraId="2F3DEA20" w14:textId="77777777" w:rsidTr="002F43EE">
        <w:tc>
          <w:tcPr>
            <w:tcW w:w="1091" w:type="dxa"/>
          </w:tcPr>
          <w:p w14:paraId="3AB63D35" w14:textId="77777777" w:rsidR="004D63B2" w:rsidRPr="00A94CB4" w:rsidRDefault="004D63B2" w:rsidP="002F43EE">
            <w:pPr>
              <w:rPr>
                <w:b/>
              </w:rPr>
            </w:pPr>
            <w:r>
              <w:rPr>
                <w:b/>
              </w:rPr>
              <w:t>AZB</w:t>
            </w:r>
          </w:p>
        </w:tc>
        <w:tc>
          <w:tcPr>
            <w:tcW w:w="6842" w:type="dxa"/>
          </w:tcPr>
          <w:p w14:paraId="7C56F690" w14:textId="77777777" w:rsidR="004D63B2" w:rsidRPr="00A94CB4" w:rsidRDefault="004D63B2" w:rsidP="002F43EE">
            <w:r w:rsidRPr="00A94CB4">
              <w:t xml:space="preserve">The name </w:t>
            </w:r>
            <w:r>
              <w:t>or</w:t>
            </w:r>
            <w:r w:rsidRPr="00A94CB4">
              <w:t xml:space="preserve"> symbol of the manufacturer or other identification of the packaging specified by the competent authority</w:t>
            </w:r>
          </w:p>
        </w:tc>
      </w:tr>
      <w:tr w:rsidR="004D63B2" w14:paraId="2DEE3F28" w14:textId="77777777" w:rsidTr="002F43EE">
        <w:tc>
          <w:tcPr>
            <w:tcW w:w="1091" w:type="dxa"/>
          </w:tcPr>
          <w:p w14:paraId="754B922E" w14:textId="77777777" w:rsidR="004D63B2" w:rsidRPr="00A94CB4" w:rsidRDefault="004D63B2" w:rsidP="002F43EE">
            <w:pPr>
              <w:rPr>
                <w:b/>
              </w:rPr>
            </w:pPr>
            <w:r>
              <w:rPr>
                <w:b/>
              </w:rPr>
              <w:t>3</w:t>
            </w:r>
            <w:r w:rsidRPr="00A94CB4">
              <w:rPr>
                <w:b/>
              </w:rPr>
              <w:t>000</w:t>
            </w:r>
          </w:p>
        </w:tc>
        <w:tc>
          <w:tcPr>
            <w:tcW w:w="6842" w:type="dxa"/>
          </w:tcPr>
          <w:p w14:paraId="6F33F6A1" w14:textId="77777777" w:rsidR="004D63B2" w:rsidRDefault="004D63B2" w:rsidP="002F43EE">
            <w:r w:rsidRPr="00A94CB4">
              <w:t>The stackin</w:t>
            </w:r>
            <w:r>
              <w:t xml:space="preserve">g test load in Kg. </w:t>
            </w:r>
          </w:p>
          <w:p w14:paraId="37896B83" w14:textId="77777777" w:rsidR="004D63B2" w:rsidRPr="00A94CB4" w:rsidRDefault="004D63B2" w:rsidP="002F43EE">
            <w:r>
              <w:t>For IBCs not designed for stacked, the  figure “0” is indicated</w:t>
            </w:r>
          </w:p>
        </w:tc>
      </w:tr>
      <w:tr w:rsidR="004D63B2" w14:paraId="6E5C2A30" w14:textId="77777777" w:rsidTr="002F43EE">
        <w:tc>
          <w:tcPr>
            <w:tcW w:w="1091" w:type="dxa"/>
          </w:tcPr>
          <w:p w14:paraId="27F9AEB6" w14:textId="77777777" w:rsidR="004D63B2" w:rsidRPr="00A94CB4" w:rsidRDefault="004D63B2" w:rsidP="002F43EE">
            <w:pPr>
              <w:rPr>
                <w:b/>
              </w:rPr>
            </w:pPr>
            <w:r>
              <w:rPr>
                <w:b/>
              </w:rPr>
              <w:t>1</w:t>
            </w:r>
            <w:r w:rsidRPr="00A94CB4">
              <w:rPr>
                <w:b/>
              </w:rPr>
              <w:t>200</w:t>
            </w:r>
          </w:p>
        </w:tc>
        <w:tc>
          <w:tcPr>
            <w:tcW w:w="6842" w:type="dxa"/>
          </w:tcPr>
          <w:p w14:paraId="72A2E5F0" w14:textId="19F85686" w:rsidR="004D63B2" w:rsidRPr="00A94CB4" w:rsidRDefault="004D63B2" w:rsidP="006E6312">
            <w:r w:rsidRPr="00A94CB4">
              <w:t>The maxim</w:t>
            </w:r>
            <w:r>
              <w:t>um permissible gross mass in Kg</w:t>
            </w:r>
          </w:p>
        </w:tc>
      </w:tr>
    </w:tbl>
    <w:p w14:paraId="2EB90921" w14:textId="77777777" w:rsidR="00307179" w:rsidRDefault="00307179" w:rsidP="004D63B2">
      <w:pPr>
        <w:pStyle w:val="Heading1"/>
        <w:rPr>
          <w:lang w:val="en-US"/>
        </w:rPr>
      </w:pPr>
    </w:p>
    <w:p w14:paraId="313AE3F8" w14:textId="291FB872" w:rsidR="00D06E2C" w:rsidRPr="00F050C5" w:rsidRDefault="00D06E2C" w:rsidP="00D06E2C">
      <w:pPr>
        <w:keepNext/>
        <w:keepLines/>
        <w:tabs>
          <w:tab w:val="left" w:pos="-720"/>
          <w:tab w:val="left" w:pos="-324"/>
          <w:tab w:val="left" w:pos="1985"/>
          <w:tab w:val="left" w:pos="2552"/>
          <w:tab w:val="left" w:pos="311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120"/>
        <w:mirrorIndents/>
        <w:jc w:val="both"/>
      </w:pPr>
      <w:r>
        <w:rPr>
          <w:rFonts w:eastAsia="Times New Roman" w:cstheme="minorHAnsi"/>
          <w:lang w:eastAsia="en-IE"/>
        </w:rPr>
        <w:t>T</w:t>
      </w:r>
      <w:r w:rsidR="00C90D9A">
        <w:rPr>
          <w:rFonts w:eastAsia="Times New Roman" w:cstheme="minorHAnsi"/>
          <w:lang w:eastAsia="en-IE"/>
        </w:rPr>
        <w:t>he</w:t>
      </w:r>
      <w:r>
        <w:rPr>
          <w:rFonts w:eastAsia="Times New Roman" w:cstheme="minorHAnsi"/>
          <w:lang w:eastAsia="en-IE"/>
        </w:rPr>
        <w:t xml:space="preserve"> ADR term </w:t>
      </w:r>
      <w:r w:rsidRPr="00F050C5">
        <w:rPr>
          <w:i/>
        </w:rPr>
        <w:t>"</w:t>
      </w:r>
      <w:bookmarkStart w:id="0" w:name="IBC"/>
      <w:r w:rsidRPr="00F050C5">
        <w:rPr>
          <w:i/>
        </w:rPr>
        <w:t>Intermediate bulk container</w:t>
      </w:r>
      <w:bookmarkEnd w:id="0"/>
      <w:r w:rsidRPr="00F050C5">
        <w:rPr>
          <w:i/>
        </w:rPr>
        <w:t>" (</w:t>
      </w:r>
      <w:r w:rsidRPr="00F050C5">
        <w:rPr>
          <w:i/>
          <w:iCs/>
        </w:rPr>
        <w:t>IBC</w:t>
      </w:r>
      <w:r w:rsidRPr="00F050C5">
        <w:t>) means a rigid or flexible portable packaging, other than those specified in Chapter 6.1, that:</w:t>
      </w:r>
    </w:p>
    <w:p w14:paraId="3B486D99" w14:textId="77777777" w:rsidR="00D06E2C" w:rsidRPr="00F050C5" w:rsidRDefault="00D06E2C" w:rsidP="00D06E2C">
      <w:pPr>
        <w:pStyle w:val="ListParagraph"/>
        <w:keepNext/>
        <w:keepLines/>
        <w:numPr>
          <w:ilvl w:val="0"/>
          <w:numId w:val="2"/>
        </w:numPr>
        <w:tabs>
          <w:tab w:val="left" w:pos="-324"/>
          <w:tab w:val="left" w:pos="1985"/>
          <w:tab w:val="left" w:pos="2552"/>
          <w:tab w:val="left" w:pos="311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436"/>
        <w:mirrorIndents/>
        <w:jc w:val="both"/>
      </w:pPr>
      <w:r>
        <w:t>h</w:t>
      </w:r>
      <w:r w:rsidRPr="00F050C5">
        <w:t>as</w:t>
      </w:r>
      <w:r>
        <w:t xml:space="preserve"> a capacity </w:t>
      </w:r>
      <w:r w:rsidRPr="00297554">
        <w:t>of</w:t>
      </w:r>
      <w:r w:rsidRPr="00297554">
        <w:rPr>
          <w:b/>
        </w:rPr>
        <w:t xml:space="preserve"> not more than 3 m</w:t>
      </w:r>
      <w:r w:rsidRPr="00297554">
        <w:rPr>
          <w:b/>
          <w:vertAlign w:val="superscript"/>
        </w:rPr>
        <w:t>3</w:t>
      </w:r>
      <w:r w:rsidRPr="00297554">
        <w:rPr>
          <w:b/>
        </w:rPr>
        <w:t xml:space="preserve"> (or 3,000 L)</w:t>
      </w:r>
      <w:r>
        <w:t xml:space="preserve"> f</w:t>
      </w:r>
      <w:r w:rsidRPr="00F050C5">
        <w:t>or solids and liquids of packing groups II and III;</w:t>
      </w:r>
    </w:p>
    <w:p w14:paraId="64A14B84" w14:textId="77777777" w:rsidR="00D06E2C" w:rsidRDefault="00D06E2C" w:rsidP="00D06E2C">
      <w:pPr>
        <w:pStyle w:val="ListParagraph"/>
        <w:keepNext/>
        <w:keepLines/>
        <w:numPr>
          <w:ilvl w:val="0"/>
          <w:numId w:val="2"/>
        </w:numPr>
        <w:tabs>
          <w:tab w:val="left" w:pos="-720"/>
          <w:tab w:val="left" w:pos="-324"/>
          <w:tab w:val="left" w:pos="1985"/>
          <w:tab w:val="left" w:pos="2552"/>
          <w:tab w:val="left" w:pos="311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436"/>
        <w:mirrorIndents/>
        <w:jc w:val="both"/>
      </w:pPr>
      <w:r>
        <w:t>i</w:t>
      </w:r>
      <w:r w:rsidRPr="00F050C5">
        <w:t>s designed for mechanical handling;</w:t>
      </w:r>
    </w:p>
    <w:p w14:paraId="1ADAE4FE" w14:textId="77777777" w:rsidR="00D06E2C" w:rsidRDefault="00D06E2C" w:rsidP="00D06E2C">
      <w:pPr>
        <w:pStyle w:val="ListParagraph"/>
        <w:keepNext/>
        <w:keepLines/>
        <w:numPr>
          <w:ilvl w:val="0"/>
          <w:numId w:val="2"/>
        </w:numPr>
        <w:tabs>
          <w:tab w:val="left" w:pos="-720"/>
          <w:tab w:val="left" w:pos="-324"/>
          <w:tab w:val="left" w:pos="1985"/>
          <w:tab w:val="left" w:pos="2552"/>
          <w:tab w:val="left" w:pos="311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120"/>
        <w:ind w:left="431" w:hanging="357"/>
        <w:contextualSpacing w:val="0"/>
        <w:mirrorIndents/>
        <w:jc w:val="both"/>
      </w:pPr>
      <w:r>
        <w:t>i</w:t>
      </w:r>
      <w:r w:rsidRPr="00F050C5">
        <w:t xml:space="preserve">s resistant to the stresses produced in handling and transport as determined by the </w:t>
      </w:r>
      <w:r>
        <w:t>tests specified in ADR Chapter 6.5.</w:t>
      </w:r>
    </w:p>
    <w:p w14:paraId="5A8F962D" w14:textId="77777777" w:rsidR="00D06E2C" w:rsidRDefault="00D06E2C" w:rsidP="00D06E2C">
      <w:pPr>
        <w:keepNext/>
        <w:keepLines/>
        <w:tabs>
          <w:tab w:val="left" w:pos="-720"/>
          <w:tab w:val="left" w:pos="-324"/>
          <w:tab w:val="left" w:pos="1985"/>
          <w:tab w:val="left" w:pos="2552"/>
          <w:tab w:val="left" w:pos="311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120"/>
        <w:mirrorIndents/>
        <w:jc w:val="both"/>
      </w:pPr>
    </w:p>
    <w:p w14:paraId="51811523" w14:textId="77777777" w:rsidR="00D06E2C" w:rsidRDefault="00D06E2C" w:rsidP="00D06E2C">
      <w:pPr>
        <w:keepNext/>
        <w:keepLines/>
        <w:tabs>
          <w:tab w:val="left" w:pos="-720"/>
          <w:tab w:val="left" w:pos="-324"/>
          <w:tab w:val="left" w:pos="1985"/>
          <w:tab w:val="left" w:pos="2552"/>
          <w:tab w:val="left" w:pos="311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120"/>
        <w:mirrorIndents/>
        <w:jc w:val="both"/>
      </w:pPr>
      <w:r w:rsidRPr="002B3734">
        <w:t>The ADR term</w:t>
      </w:r>
      <w:r>
        <w:t xml:space="preserve"> “</w:t>
      </w:r>
      <w:bookmarkStart w:id="1" w:name="Tank"/>
      <w:r>
        <w:t>tank</w:t>
      </w:r>
      <w:bookmarkEnd w:id="1"/>
      <w:r>
        <w:t>” is as follows:</w:t>
      </w:r>
    </w:p>
    <w:p w14:paraId="6014C2EB" w14:textId="77777777" w:rsidR="00D06E2C" w:rsidRDefault="00D06E2C" w:rsidP="00D06E2C">
      <w:pPr>
        <w:keepNext/>
        <w:keepLines/>
        <w:tabs>
          <w:tab w:val="left" w:pos="-720"/>
          <w:tab w:val="left" w:pos="-324"/>
          <w:tab w:val="left" w:pos="1985"/>
          <w:tab w:val="left" w:pos="2552"/>
          <w:tab w:val="left" w:pos="311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120"/>
        <w:mirrorIndents/>
        <w:jc w:val="both"/>
      </w:pPr>
      <w:r w:rsidRPr="002B3734">
        <w:rPr>
          <w:i/>
        </w:rPr>
        <w:t>"Tank"</w:t>
      </w:r>
      <w:r w:rsidRPr="002B3734">
        <w:t xml:space="preserve"> means a shell, including its service and structural equipment. When used alone, the term tank means a tank-container, portable tank, demountable tank or fixed tank </w:t>
      </w:r>
      <w:r>
        <w:t>...</w:t>
      </w:r>
      <w:r w:rsidRPr="002B3734">
        <w:t xml:space="preserve"> including tanks forming elements of battery-vehicles or MEGCs</w:t>
      </w:r>
      <w:r>
        <w:t xml:space="preserve"> (multiple element gas containers).</w:t>
      </w:r>
    </w:p>
    <w:p w14:paraId="17869E18" w14:textId="77777777" w:rsidR="00D06E2C" w:rsidRPr="002B3734" w:rsidRDefault="00D06E2C" w:rsidP="00D06E2C">
      <w:pPr>
        <w:tabs>
          <w:tab w:val="left" w:pos="-720"/>
          <w:tab w:val="left" w:pos="-324"/>
          <w:tab w:val="left" w:pos="1985"/>
          <w:tab w:val="left" w:pos="2552"/>
          <w:tab w:val="left" w:pos="311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200"/>
      </w:pPr>
      <w:r w:rsidRPr="002B3734">
        <w:rPr>
          <w:i/>
        </w:rPr>
        <w:t>"Fixed tank"</w:t>
      </w:r>
      <w:r w:rsidRPr="002B3734">
        <w:t xml:space="preserve"> means a tank having a capacity of </w:t>
      </w:r>
      <w:r w:rsidRPr="00691944">
        <w:rPr>
          <w:b/>
        </w:rPr>
        <w:t>more than 1 000 litres</w:t>
      </w:r>
      <w:r w:rsidRPr="002B3734">
        <w:t xml:space="preserve"> which is permanently attached to a vehicle (which then becomes a tank-vehicle) or is an integral pa</w:t>
      </w:r>
      <w:r>
        <w:t>rt of the frame of such vehicle.</w:t>
      </w:r>
    </w:p>
    <w:p w14:paraId="695F7CB3" w14:textId="76C19B5E" w:rsidR="00016070" w:rsidRDefault="00D06E2C" w:rsidP="006F36CE">
      <w:pPr>
        <w:keepNext/>
        <w:keepLines/>
        <w:tabs>
          <w:tab w:val="left" w:pos="-720"/>
          <w:tab w:val="left" w:pos="-324"/>
          <w:tab w:val="left" w:pos="1985"/>
          <w:tab w:val="left" w:pos="2552"/>
          <w:tab w:val="left" w:pos="311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120"/>
        <w:mirrorIndents/>
        <w:jc w:val="both"/>
        <w:rPr>
          <w:lang w:val="en-US"/>
        </w:rPr>
      </w:pPr>
      <w:r w:rsidRPr="002B3734">
        <w:rPr>
          <w:i/>
        </w:rPr>
        <w:t>"Tank-vehicle"</w:t>
      </w:r>
      <w:r w:rsidRPr="002B3734">
        <w:t xml:space="preserve"> means a vehicle built to carry liquids, gases or powdery or granular substances and comprising one or more fixed tanks. In addition to the vehi</w:t>
      </w:r>
      <w:bookmarkStart w:id="2" w:name="_GoBack"/>
      <w:bookmarkEnd w:id="2"/>
      <w:r w:rsidRPr="002B3734">
        <w:t>cle proper, or the units of running gear used in its stead, a tank-vehicle comprises one or more shells, their items of equipment and the fittings for attaching them to the vehicle or to the running-gear units</w:t>
      </w:r>
      <w:r>
        <w:t>.</w:t>
      </w:r>
    </w:p>
    <w:sectPr w:rsidR="000160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EAD0A" w14:textId="77777777" w:rsidR="00FA40A5" w:rsidRDefault="00FA40A5" w:rsidP="00B6268C">
      <w:pPr>
        <w:spacing w:after="0" w:line="240" w:lineRule="auto"/>
      </w:pPr>
      <w:r>
        <w:separator/>
      </w:r>
    </w:p>
  </w:endnote>
  <w:endnote w:type="continuationSeparator" w:id="0">
    <w:p w14:paraId="0D9122C0" w14:textId="77777777" w:rsidR="00FA40A5" w:rsidRDefault="00FA40A5" w:rsidP="00B6268C">
      <w:pPr>
        <w:spacing w:after="0" w:line="240" w:lineRule="auto"/>
      </w:pPr>
      <w:r>
        <w:continuationSeparator/>
      </w:r>
    </w:p>
  </w:endnote>
  <w:endnote w:type="continuationNotice" w:id="1">
    <w:p w14:paraId="4B1ED5C5" w14:textId="77777777" w:rsidR="00FA40A5" w:rsidRDefault="00FA40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9FD62" w14:textId="77777777" w:rsidR="00FA40A5" w:rsidRDefault="00FA40A5" w:rsidP="00B6268C">
      <w:pPr>
        <w:spacing w:after="0" w:line="240" w:lineRule="auto"/>
      </w:pPr>
      <w:r>
        <w:separator/>
      </w:r>
    </w:p>
  </w:footnote>
  <w:footnote w:type="continuationSeparator" w:id="0">
    <w:p w14:paraId="6D56EC79" w14:textId="77777777" w:rsidR="00FA40A5" w:rsidRDefault="00FA40A5" w:rsidP="00B6268C">
      <w:pPr>
        <w:spacing w:after="0" w:line="240" w:lineRule="auto"/>
      </w:pPr>
      <w:r>
        <w:continuationSeparator/>
      </w:r>
    </w:p>
  </w:footnote>
  <w:footnote w:type="continuationNotice" w:id="1">
    <w:p w14:paraId="2E0EFAE3" w14:textId="77777777" w:rsidR="00FA40A5" w:rsidRDefault="00FA40A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7101"/>
    <w:multiLevelType w:val="hybridMultilevel"/>
    <w:tmpl w:val="1796350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F4E67"/>
    <w:multiLevelType w:val="hybridMultilevel"/>
    <w:tmpl w:val="17D6D46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614E67"/>
    <w:multiLevelType w:val="hybridMultilevel"/>
    <w:tmpl w:val="0E1832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7F21B8"/>
    <w:multiLevelType w:val="hybridMultilevel"/>
    <w:tmpl w:val="9842B1B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A555A1"/>
    <w:multiLevelType w:val="hybridMultilevel"/>
    <w:tmpl w:val="8DE4E0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8579D"/>
    <w:multiLevelType w:val="hybridMultilevel"/>
    <w:tmpl w:val="E2BE1F0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E2157"/>
    <w:multiLevelType w:val="hybridMultilevel"/>
    <w:tmpl w:val="77206A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4782A"/>
    <w:multiLevelType w:val="hybridMultilevel"/>
    <w:tmpl w:val="70BE8A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A0151"/>
    <w:multiLevelType w:val="hybridMultilevel"/>
    <w:tmpl w:val="41E4324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8C"/>
    <w:rsid w:val="00015E32"/>
    <w:rsid w:val="00016070"/>
    <w:rsid w:val="00017175"/>
    <w:rsid w:val="000828DF"/>
    <w:rsid w:val="000B2F39"/>
    <w:rsid w:val="000B7DEE"/>
    <w:rsid w:val="000E6C5D"/>
    <w:rsid w:val="00110BAA"/>
    <w:rsid w:val="00116FFB"/>
    <w:rsid w:val="00122DA7"/>
    <w:rsid w:val="00137325"/>
    <w:rsid w:val="00145098"/>
    <w:rsid w:val="00150480"/>
    <w:rsid w:val="00177473"/>
    <w:rsid w:val="001E5239"/>
    <w:rsid w:val="00230773"/>
    <w:rsid w:val="00296902"/>
    <w:rsid w:val="002B3734"/>
    <w:rsid w:val="00307179"/>
    <w:rsid w:val="00311518"/>
    <w:rsid w:val="003C2FC3"/>
    <w:rsid w:val="003E715E"/>
    <w:rsid w:val="004975EB"/>
    <w:rsid w:val="004A0B76"/>
    <w:rsid w:val="004C4C0C"/>
    <w:rsid w:val="004D38C1"/>
    <w:rsid w:val="004D63B2"/>
    <w:rsid w:val="004E12AC"/>
    <w:rsid w:val="004F57B2"/>
    <w:rsid w:val="00555017"/>
    <w:rsid w:val="005733DE"/>
    <w:rsid w:val="00583880"/>
    <w:rsid w:val="005A1C76"/>
    <w:rsid w:val="005C6DD4"/>
    <w:rsid w:val="005D1F78"/>
    <w:rsid w:val="00602045"/>
    <w:rsid w:val="0061093E"/>
    <w:rsid w:val="00616D9E"/>
    <w:rsid w:val="00634509"/>
    <w:rsid w:val="006359A3"/>
    <w:rsid w:val="006454BD"/>
    <w:rsid w:val="00691944"/>
    <w:rsid w:val="006D602A"/>
    <w:rsid w:val="006E6312"/>
    <w:rsid w:val="006F20A9"/>
    <w:rsid w:val="006F36CE"/>
    <w:rsid w:val="00716C82"/>
    <w:rsid w:val="00726113"/>
    <w:rsid w:val="007307AD"/>
    <w:rsid w:val="00747B9D"/>
    <w:rsid w:val="007610D9"/>
    <w:rsid w:val="00793732"/>
    <w:rsid w:val="007B695A"/>
    <w:rsid w:val="007E514B"/>
    <w:rsid w:val="0080500B"/>
    <w:rsid w:val="0081676F"/>
    <w:rsid w:val="00826B73"/>
    <w:rsid w:val="00893133"/>
    <w:rsid w:val="008C1FB2"/>
    <w:rsid w:val="008C4B45"/>
    <w:rsid w:val="008D4B94"/>
    <w:rsid w:val="008F05BF"/>
    <w:rsid w:val="00942E59"/>
    <w:rsid w:val="00954E57"/>
    <w:rsid w:val="009934FF"/>
    <w:rsid w:val="00A0538B"/>
    <w:rsid w:val="00A21EA3"/>
    <w:rsid w:val="00B05FC6"/>
    <w:rsid w:val="00B42276"/>
    <w:rsid w:val="00B6268C"/>
    <w:rsid w:val="00B676D9"/>
    <w:rsid w:val="00B70084"/>
    <w:rsid w:val="00B70788"/>
    <w:rsid w:val="00B82948"/>
    <w:rsid w:val="00BB5BDB"/>
    <w:rsid w:val="00BC2862"/>
    <w:rsid w:val="00BC50D3"/>
    <w:rsid w:val="00BE3BDA"/>
    <w:rsid w:val="00BF79BF"/>
    <w:rsid w:val="00C0354B"/>
    <w:rsid w:val="00C14542"/>
    <w:rsid w:val="00C271AF"/>
    <w:rsid w:val="00C31B73"/>
    <w:rsid w:val="00C47A3F"/>
    <w:rsid w:val="00C54462"/>
    <w:rsid w:val="00C66C7F"/>
    <w:rsid w:val="00C90D9A"/>
    <w:rsid w:val="00C925F9"/>
    <w:rsid w:val="00CB5D67"/>
    <w:rsid w:val="00D06E2C"/>
    <w:rsid w:val="00D21EAB"/>
    <w:rsid w:val="00D6529C"/>
    <w:rsid w:val="00D84EF7"/>
    <w:rsid w:val="00D91F10"/>
    <w:rsid w:val="00D941C1"/>
    <w:rsid w:val="00D95067"/>
    <w:rsid w:val="00DA1BED"/>
    <w:rsid w:val="00DB6A7E"/>
    <w:rsid w:val="00DD67F8"/>
    <w:rsid w:val="00DF2073"/>
    <w:rsid w:val="00E25794"/>
    <w:rsid w:val="00E4600F"/>
    <w:rsid w:val="00E6583A"/>
    <w:rsid w:val="00E83A8D"/>
    <w:rsid w:val="00F21C02"/>
    <w:rsid w:val="00F31E01"/>
    <w:rsid w:val="00F60C95"/>
    <w:rsid w:val="00FA40A5"/>
    <w:rsid w:val="00FB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6D550"/>
  <w15:chartTrackingRefBased/>
  <w15:docId w15:val="{1FE9CDA3-69A9-4D1D-ABEF-6581E15C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6E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26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268C"/>
    <w:pPr>
      <w:spacing w:after="200" w:line="276" w:lineRule="auto"/>
      <w:ind w:left="720"/>
      <w:contextualSpacing/>
    </w:pPr>
    <w:rPr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6268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5BDB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5BDB"/>
    <w:rPr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DA1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020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2045"/>
  </w:style>
  <w:style w:type="paragraph" w:styleId="Footer">
    <w:name w:val="footer"/>
    <w:basedOn w:val="Normal"/>
    <w:link w:val="FooterChar"/>
    <w:uiPriority w:val="99"/>
    <w:semiHidden/>
    <w:unhideWhenUsed/>
    <w:rsid w:val="006020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2045"/>
  </w:style>
  <w:style w:type="paragraph" w:styleId="BalloonText">
    <w:name w:val="Balloon Text"/>
    <w:basedOn w:val="Normal"/>
    <w:link w:val="BalloonTextChar"/>
    <w:uiPriority w:val="99"/>
    <w:semiHidden/>
    <w:unhideWhenUsed/>
    <w:rsid w:val="00826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B7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26B73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06E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4975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5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5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5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5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hsa.ie/eng/publications_and_forms/publications/chemical_and_hazardous_substances/carriage_of_dangerous_goods_by_road_2021.html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762d11-f8f4-4f77-9539-1e09ed39a644">
      <Value>4</Value>
      <Value>2</Value>
      <Value>1</Value>
    </TaxCatchAll>
    <eDocs_FileStatus xmlns="http://schemas.microsoft.com/sharepoint/v3">Live</eDocs_FileStatus>
    <eDocs_SeriesSubSeriesTaxHTField0 xmlns="fe7cfcaa-1ff3-4618-b22e-960417015d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261</TermName>
          <TermId xmlns="http://schemas.microsoft.com/office/infopath/2007/PartnerControls">03c0941e-6e67-4acf-b37d-6e088b5555a4</TermId>
        </TermInfo>
      </Terms>
    </eDocs_SeriesSubSeriesTaxHTField0>
    <eDocs_YearTaxHTField0 xmlns="fe7cfcaa-1ff3-4618-b22e-960417015d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73225aa2-7755-4d04-8b30-fe687e72f96d</TermId>
        </TermInfo>
      </Terms>
    </eDocs_YearTaxHTField0>
    <eDocs_FileTopicsTaxHTField0 xmlns="fe7cfcaa-1ff3-4618-b22e-960417015da7">
      <Terms xmlns="http://schemas.microsoft.com/office/infopath/2007/PartnerControls"/>
    </eDocs_FileTopicsTaxHTField0>
    <eDocs_SecurityClassificationTaxHTField0 xmlns="fe7cfcaa-1ff3-4618-b22e-960417015d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5abae98d-4ca0-4543-9a4f-a9f8054d316c</TermId>
        </TermInfo>
      </Terms>
    </eDocs_SecurityClassificationTaxHTField0>
    <eDocs_DocumentTopicsTaxHTField0 xmlns="fe7cfcaa-1ff3-4618-b22e-960417015da7">
      <Terms xmlns="http://schemas.microsoft.com/office/infopath/2007/PartnerControls"/>
    </eDocs_DocumentTopicsTaxHTField0>
    <eDocs_FileName xmlns="http://schemas.microsoft.com/sharepoint/v3">HSA261-021-2021</eDocs_File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044C3C0D4F2F784FAB038691D1433061" ma:contentTypeVersion="14" ma:contentTypeDescription="Create a new document for eDocs" ma:contentTypeScope="" ma:versionID="0d3ca0765b2f8add4d2465aea598c096">
  <xsd:schema xmlns:xsd="http://www.w3.org/2001/XMLSchema" xmlns:xs="http://www.w3.org/2001/XMLSchema" xmlns:p="http://schemas.microsoft.com/office/2006/metadata/properties" xmlns:ns1="http://schemas.microsoft.com/sharepoint/v3" xmlns:ns2="fe7cfcaa-1ff3-4618-b22e-960417015da7" xmlns:ns3="d4762d11-f8f4-4f77-9539-1e09ed39a644" targetNamespace="http://schemas.microsoft.com/office/2006/metadata/properties" ma:root="true" ma:fieldsID="aa1290f296556616fb9d8e58d7f77881" ns1:_="" ns2:_="" ns3:_="">
    <xsd:import namespace="http://schemas.microsoft.com/sharepoint/v3"/>
    <xsd:import namespace="fe7cfcaa-1ff3-4618-b22e-960417015da7"/>
    <xsd:import namespace="d4762d11-f8f4-4f77-9539-1e09ed39a64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fcaa-1ff3-4618-b22e-960417015da7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c62dd59-2bd5-4113-a83d-2d8721f41b56" ma:termSetId="285a29cd-660e-4e54-8757-517f127049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c62dd59-2bd5-4113-a83d-2d8721f41b56" ma:termSetId="3ad211d0-3017-47d3-ab04-bac4bbf8bd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c62dd59-2bd5-4113-a83d-2d8721f41b56" ma:termSetId="8b1e78e5-372e-459a-93db-ef257fb3d2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c62dd59-2bd5-4113-a83d-2d8721f41b56" ma:termSetId="285a29cd-660e-4e54-8757-517f127049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4;#Unclassified|5abae98d-4ca0-4543-9a4f-a9f8054d316c" ma:fieldId="{6bbd3faf-a5ab-4e5e-b8a6-a5e099cef439}" ma:sspId="0c62dd59-2bd5-4113-a83d-2d8721f41b56" ma:termSetId="6ba49623-f300-48dd-863b-990dd2a0c7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62d11-f8f4-4f77-9539-1e09ed39a64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72c4ec-eefc-43b0-92a0-0a9f9aab1c75}" ma:internalName="TaxCatchAll" ma:showField="CatchAllData" ma:web="d4762d11-f8f4-4f77-9539-1e09ed39a6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?mso-contentType ?>
<p:Policy xmlns:p="office.server.policy" id="" local="true">
  <p:Name>eDocument</p:Name>
  <p:Description/>
  <p:Statement/>
  <p:PolicyItems/>
</p:Policy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C46A6-2D0F-4137-A9ED-6D0B5422C7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8AA4ED-C44C-4F6A-8D58-C5853834A572}">
  <ds:schemaRefs>
    <ds:schemaRef ds:uri="http://schemas.microsoft.com/office/2006/metadata/properties"/>
    <ds:schemaRef ds:uri="http://schemas.microsoft.com/office/infopath/2007/PartnerControls"/>
    <ds:schemaRef ds:uri="d4762d11-f8f4-4f77-9539-1e09ed39a644"/>
    <ds:schemaRef ds:uri="http://schemas.microsoft.com/sharepoint/v3"/>
    <ds:schemaRef ds:uri="fe7cfcaa-1ff3-4618-b22e-960417015da7"/>
  </ds:schemaRefs>
</ds:datastoreItem>
</file>

<file path=customXml/itemProps3.xml><?xml version="1.0" encoding="utf-8"?>
<ds:datastoreItem xmlns:ds="http://schemas.openxmlformats.org/officeDocument/2006/customXml" ds:itemID="{7251BF08-2F60-4AEA-848F-AC726DC4A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7cfcaa-1ff3-4618-b22e-960417015da7"/>
    <ds:schemaRef ds:uri="d4762d11-f8f4-4f77-9539-1e09ed39a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EA6C68-48A7-443C-991E-D584294A065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6A35ED7-3DFC-49B1-ADE8-4E2FEA0A147B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9180457E-84C4-46DB-AE16-309AED20E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Doherty</dc:creator>
  <cp:keywords/>
  <dc:description/>
  <cp:lastModifiedBy>Thomas Carroll</cp:lastModifiedBy>
  <cp:revision>6</cp:revision>
  <cp:lastPrinted>2023-01-05T12:00:00Z</cp:lastPrinted>
  <dcterms:created xsi:type="dcterms:W3CDTF">2023-05-09T14:27:00Z</dcterms:created>
  <dcterms:modified xsi:type="dcterms:W3CDTF">2023-05-09T14:51:00Z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0x0101000BC94875665D404BB1351B53C41FD2C000044C3C0D4F2F784FAB038691D1433061</vt:lpwstr>
  </property>
  <property fmtid="{D5CDD505-2E9C-101B-9397-08002B2CF9AE}" pid="3" name="eDocs_FileTopics">
    <vt:lpwstr/>
  </property>
  <property fmtid="{D5CDD505-2E9C-101B-9397-08002B2CF9AE}" pid="4" name="eDocs_SecurityClassification">
    <vt:lpwstr>4;#Unclassified|5abae98d-4ca0-4543-9a4f-a9f8054d316c</vt:lpwstr>
  </property>
  <property fmtid="{D5CDD505-2E9C-101B-9397-08002B2CF9AE}" pid="5" name="eDocs_Year">
    <vt:lpwstr>1;#2021|73225aa2-7755-4d04-8b30-fe687e72f96d</vt:lpwstr>
  </property>
  <property fmtid="{D5CDD505-2E9C-101B-9397-08002B2CF9AE}" pid="6" name="eDocs_SeriesSubSeries">
    <vt:lpwstr>2;#261|03c0941e-6e67-4acf-b37d-6e088b5555a4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Docs_DocumentTopics">
    <vt:lpwstr/>
  </property>
  <property fmtid="{D5CDD505-2E9C-101B-9397-08002B2CF9AE}" pid="10" name="_docset_NoMedatataSyncRequired">
    <vt:lpwstr>False</vt:lpwstr>
  </property>
</Properties>
</file>