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3B34" w14:textId="4C7637FA" w:rsidR="00850BA7" w:rsidRPr="00502372" w:rsidRDefault="00A37C4A" w:rsidP="006B160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AEF255" wp14:editId="30F3F6DA">
                <wp:simplePos x="0" y="0"/>
                <wp:positionH relativeFrom="page">
                  <wp:posOffset>962025</wp:posOffset>
                </wp:positionH>
                <wp:positionV relativeFrom="page">
                  <wp:posOffset>1314450</wp:posOffset>
                </wp:positionV>
                <wp:extent cx="5819775" cy="1524000"/>
                <wp:effectExtent l="19050" t="19050" r="2857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5240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99A04" w14:textId="77777777" w:rsidR="00F9767D" w:rsidRDefault="002D335E" w:rsidP="00F9767D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What is the proposal?</w:t>
                            </w:r>
                          </w:p>
                          <w:p w14:paraId="36EA364B" w14:textId="77D03493" w:rsidR="002D335E" w:rsidRDefault="002D335E" w:rsidP="006B160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767D">
                              <w:rPr>
                                <w:sz w:val="20"/>
                                <w:szCs w:val="20"/>
                              </w:rPr>
                              <w:t xml:space="preserve">The European </w:t>
                            </w:r>
                            <w:r w:rsidR="00502372">
                              <w:rPr>
                                <w:sz w:val="20"/>
                                <w:szCs w:val="20"/>
                              </w:rPr>
                              <w:t>Commission</w:t>
                            </w:r>
                            <w:r w:rsidRPr="00F9767D">
                              <w:rPr>
                                <w:sz w:val="20"/>
                                <w:szCs w:val="20"/>
                              </w:rPr>
                              <w:t xml:space="preserve"> has launched a public consultation </w:t>
                            </w:r>
                            <w:r w:rsidR="00850BA7" w:rsidRPr="00F9767D">
                              <w:rPr>
                                <w:sz w:val="20"/>
                                <w:szCs w:val="20"/>
                              </w:rPr>
                              <w:t xml:space="preserve">on a proposal to </w:t>
                            </w:r>
                            <w:r w:rsidR="00EA357B" w:rsidRPr="00F9767D">
                              <w:rPr>
                                <w:sz w:val="20"/>
                                <w:szCs w:val="20"/>
                              </w:rPr>
                              <w:t>restrict</w:t>
                            </w:r>
                            <w:r w:rsidR="006B1607" w:rsidRPr="006B16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372">
                              <w:rPr>
                                <w:sz w:val="20"/>
                                <w:szCs w:val="20"/>
                              </w:rPr>
                              <w:t xml:space="preserve">hazardous substances (Carcinogens, Mutagens and substances Toxic to Reproduction, Categories 1A and 1B) from </w:t>
                            </w:r>
                            <w:r w:rsidR="00502372" w:rsidRPr="00502372">
                              <w:rPr>
                                <w:sz w:val="20"/>
                                <w:szCs w:val="20"/>
                              </w:rPr>
                              <w:t>textile articles and clothing for consumer use</w:t>
                            </w:r>
                            <w:r w:rsidR="00A027D0" w:rsidRPr="0050237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767D" w:rsidRPr="00502372">
                              <w:rPr>
                                <w:sz w:val="20"/>
                                <w:szCs w:val="20"/>
                              </w:rPr>
                              <w:t xml:space="preserve">See the  </w:t>
                            </w:r>
                            <w:hyperlink r:id="rId12" w:history="1">
                              <w:r w:rsidR="00502372" w:rsidRPr="005023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Commission website</w:t>
                              </w:r>
                            </w:hyperlink>
                            <w:r w:rsidR="006B1607" w:rsidRPr="005023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67D" w:rsidRPr="00502372">
                              <w:rPr>
                                <w:sz w:val="20"/>
                                <w:szCs w:val="20"/>
                              </w:rPr>
                              <w:t xml:space="preserve"> for more</w:t>
                            </w:r>
                            <w:r w:rsidR="00F9767D" w:rsidRPr="00F9767D">
                              <w:rPr>
                                <w:sz w:val="20"/>
                                <w:szCs w:val="20"/>
                              </w:rPr>
                              <w:t xml:space="preserve"> details.</w:t>
                            </w:r>
                          </w:p>
                          <w:p w14:paraId="741FF713" w14:textId="2549683A" w:rsidR="00A37C4A" w:rsidRPr="00F9767D" w:rsidRDefault="00A37C4A" w:rsidP="006B1607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37C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European Commission is proposing to introduce this restriction via a ‘fast track’ approach under Article 68(2) of the REACH Regulation.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75.75pt;margin-top:103.5pt;width:458.2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" o:allowincell="f" fillcolor="#eaf1dd [662]" strokecolor="#4f81bd [3204]" strokeweight="3pt">
                <v:textbox>
                  <w:txbxContent>
                    <w:p w14:paraId="33599A04" w14:textId="77777777" w:rsidR="00F9767D" w:rsidRDefault="002D335E" w:rsidP="00F9767D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What is the proposal?</w:t>
                      </w:r>
                    </w:p>
                    <w:p w14:paraId="36EA364B" w14:textId="77D03493" w:rsidR="002D335E" w:rsidRDefault="002D335E" w:rsidP="006B160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9767D">
                        <w:rPr>
                          <w:sz w:val="20"/>
                          <w:szCs w:val="20"/>
                        </w:rPr>
                        <w:t xml:space="preserve">The European </w:t>
                      </w:r>
                      <w:r w:rsidR="00502372">
                        <w:rPr>
                          <w:sz w:val="20"/>
                          <w:szCs w:val="20"/>
                        </w:rPr>
                        <w:t>Commission</w:t>
                      </w:r>
                      <w:r w:rsidRPr="00F9767D">
                        <w:rPr>
                          <w:sz w:val="20"/>
                          <w:szCs w:val="20"/>
                        </w:rPr>
                        <w:t xml:space="preserve"> has launched a public consultation </w:t>
                      </w:r>
                      <w:r w:rsidR="00850BA7" w:rsidRPr="00F9767D">
                        <w:rPr>
                          <w:sz w:val="20"/>
                          <w:szCs w:val="20"/>
                        </w:rPr>
                        <w:t xml:space="preserve">on a proposal to </w:t>
                      </w:r>
                      <w:r w:rsidR="00EA357B" w:rsidRPr="00F9767D">
                        <w:rPr>
                          <w:sz w:val="20"/>
                          <w:szCs w:val="20"/>
                        </w:rPr>
                        <w:t>restrict</w:t>
                      </w:r>
                      <w:r w:rsidR="006B1607" w:rsidRPr="006B16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2372">
                        <w:rPr>
                          <w:sz w:val="20"/>
                          <w:szCs w:val="20"/>
                        </w:rPr>
                        <w:t xml:space="preserve">hazardous substances (Carcinogens, Mutagens and substances Toxic to Reproduction, Categories 1A and 1B) from </w:t>
                      </w:r>
                      <w:r w:rsidR="00502372" w:rsidRPr="00502372">
                        <w:rPr>
                          <w:sz w:val="20"/>
                          <w:szCs w:val="20"/>
                        </w:rPr>
                        <w:t>textile articles and clothing for consumer use</w:t>
                      </w:r>
                      <w:r w:rsidR="00A027D0" w:rsidRPr="0050237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9767D" w:rsidRPr="00502372">
                        <w:rPr>
                          <w:sz w:val="20"/>
                          <w:szCs w:val="20"/>
                        </w:rPr>
                        <w:t xml:space="preserve">See the  </w:t>
                      </w:r>
                      <w:hyperlink r:id="rId13" w:history="1">
                        <w:r w:rsidR="00502372" w:rsidRPr="00502372">
                          <w:rPr>
                            <w:rStyle w:val="Hyperlink"/>
                            <w:sz w:val="20"/>
                            <w:szCs w:val="20"/>
                          </w:rPr>
                          <w:t>Commission website</w:t>
                        </w:r>
                      </w:hyperlink>
                      <w:r w:rsidR="006B1607" w:rsidRPr="005023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767D" w:rsidRPr="00502372">
                        <w:rPr>
                          <w:sz w:val="20"/>
                          <w:szCs w:val="20"/>
                        </w:rPr>
                        <w:t xml:space="preserve"> for more</w:t>
                      </w:r>
                      <w:r w:rsidR="00F9767D" w:rsidRPr="00F9767D">
                        <w:rPr>
                          <w:sz w:val="20"/>
                          <w:szCs w:val="20"/>
                        </w:rPr>
                        <w:t xml:space="preserve"> details.</w:t>
                      </w:r>
                    </w:p>
                    <w:p w14:paraId="741FF713" w14:textId="2549683A" w:rsidR="00A37C4A" w:rsidRPr="00F9767D" w:rsidRDefault="00A37C4A" w:rsidP="006B1607">
                      <w:pPr>
                        <w:spacing w:line="240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37C4A">
                        <w:rPr>
                          <w:b/>
                          <w:i/>
                          <w:sz w:val="20"/>
                          <w:szCs w:val="20"/>
                        </w:rPr>
                        <w:t xml:space="preserve">The European Commission is proposing to introduce this restriction via a ‘fast track’ approach under Article 68(2) of the REACH Regulation.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53A89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023372" wp14:editId="0262A0CB">
                <wp:simplePos x="0" y="0"/>
                <wp:positionH relativeFrom="page">
                  <wp:posOffset>933450</wp:posOffset>
                </wp:positionH>
                <wp:positionV relativeFrom="page">
                  <wp:posOffset>6819265</wp:posOffset>
                </wp:positionV>
                <wp:extent cx="5848350" cy="1095375"/>
                <wp:effectExtent l="19050" t="19050" r="19050" b="2857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095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FD785" w14:textId="18E6EF84" w:rsidR="00F70E49" w:rsidRDefault="00F70E49" w:rsidP="00721CA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="00721C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ow can </w:t>
                            </w:r>
                            <w:r w:rsidR="0092371B">
                              <w:rPr>
                                <w:b/>
                                <w:bCs/>
                                <w:i/>
                                <w:iCs/>
                              </w:rPr>
                              <w:t>interested parties or the public</w:t>
                            </w:r>
                            <w:r w:rsidR="00721C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have their say?</w:t>
                            </w:r>
                          </w:p>
                          <w:p w14:paraId="4188EB03" w14:textId="4EFFCA88" w:rsidR="00721CA7" w:rsidRPr="00853A89" w:rsidRDefault="00F70E49" w:rsidP="00642024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A89">
                              <w:rPr>
                                <w:sz w:val="20"/>
                                <w:szCs w:val="20"/>
                              </w:rPr>
                              <w:t>Interested p</w:t>
                            </w:r>
                            <w:r w:rsidR="00721CA7" w:rsidRPr="00853A89">
                              <w:rPr>
                                <w:sz w:val="20"/>
                                <w:szCs w:val="20"/>
                              </w:rPr>
                              <w:t xml:space="preserve">arties can submit comments to 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>the European Commission</w:t>
                            </w:r>
                            <w:r w:rsidR="00721CA7" w:rsidRPr="00853A89">
                              <w:rPr>
                                <w:sz w:val="20"/>
                                <w:szCs w:val="20"/>
                              </w:rPr>
                              <w:t xml:space="preserve"> during the public consultation until 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74F0C" w:rsidRPr="0085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607" w:rsidRPr="00853A89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>anuary</w:t>
                            </w:r>
                            <w:r w:rsidR="00A74F0C" w:rsidRPr="00853A89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0676B5" w:rsidRPr="0085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71B" w:rsidRPr="00853A89">
                              <w:rPr>
                                <w:sz w:val="20"/>
                                <w:szCs w:val="20"/>
                              </w:rPr>
                              <w:t>at the latest</w:t>
                            </w:r>
                            <w:r w:rsidR="006B1607" w:rsidRPr="0085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 xml:space="preserve">using the online submissions form at this </w:t>
                            </w:r>
                            <w:hyperlink r:id="rId14" w:history="1">
                              <w:r w:rsidR="00853A89" w:rsidRPr="00853A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73.5pt;margin-top:536.95pt;width:460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" o:allowincell="f" fillcolor="#4bacc6 [3208]" strokecolor="#4f81bd [3204]" strokeweight="3pt">
                <v:textbox>
                  <w:txbxContent>
                    <w:p w14:paraId="424FD785" w14:textId="18E6EF84" w:rsidR="00F70E49" w:rsidRDefault="00F70E49" w:rsidP="00721CA7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</w:t>
                      </w:r>
                      <w:r w:rsidR="00721CA7">
                        <w:rPr>
                          <w:b/>
                          <w:bCs/>
                          <w:i/>
                          <w:iCs/>
                        </w:rPr>
                        <w:t xml:space="preserve">ow can </w:t>
                      </w:r>
                      <w:r w:rsidR="0092371B">
                        <w:rPr>
                          <w:b/>
                          <w:bCs/>
                          <w:i/>
                          <w:iCs/>
                        </w:rPr>
                        <w:t>interested parties or the public</w:t>
                      </w:r>
                      <w:r w:rsidR="00721CA7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have their say?</w:t>
                      </w:r>
                    </w:p>
                    <w:p w14:paraId="4188EB03" w14:textId="4EFFCA88" w:rsidR="00721CA7" w:rsidRPr="00853A89" w:rsidRDefault="00F70E49" w:rsidP="00642024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53A89">
                        <w:rPr>
                          <w:sz w:val="20"/>
                          <w:szCs w:val="20"/>
                        </w:rPr>
                        <w:t>Interested p</w:t>
                      </w:r>
                      <w:r w:rsidR="00721CA7" w:rsidRPr="00853A89">
                        <w:rPr>
                          <w:sz w:val="20"/>
                          <w:szCs w:val="20"/>
                        </w:rPr>
                        <w:t xml:space="preserve">arties can submit comments to 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>the European Commission</w:t>
                      </w:r>
                      <w:r w:rsidR="00721CA7" w:rsidRPr="00853A89">
                        <w:rPr>
                          <w:sz w:val="20"/>
                          <w:szCs w:val="20"/>
                        </w:rPr>
                        <w:t xml:space="preserve"> during the public consultation until 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>22</w:t>
                      </w:r>
                      <w:r w:rsidR="00853A89" w:rsidRPr="00853A89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74F0C" w:rsidRPr="0085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1607" w:rsidRPr="00853A89">
                        <w:rPr>
                          <w:sz w:val="20"/>
                          <w:szCs w:val="20"/>
                        </w:rPr>
                        <w:t>J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>anuary</w:t>
                      </w:r>
                      <w:r w:rsidR="00A74F0C" w:rsidRPr="00853A89"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>6</w:t>
                      </w:r>
                      <w:r w:rsidR="000676B5" w:rsidRPr="0085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371B" w:rsidRPr="00853A89">
                        <w:rPr>
                          <w:sz w:val="20"/>
                          <w:szCs w:val="20"/>
                        </w:rPr>
                        <w:t>at the latest</w:t>
                      </w:r>
                      <w:r w:rsidR="006B1607" w:rsidRPr="0085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 xml:space="preserve">using the online submissions form at this </w:t>
                      </w:r>
                      <w:hyperlink r:id="rId15" w:history="1">
                        <w:r w:rsidR="00853A89" w:rsidRPr="00853A89">
                          <w:rPr>
                            <w:rStyle w:val="Hyperlink"/>
                            <w:sz w:val="20"/>
                            <w:szCs w:val="20"/>
                          </w:rPr>
                          <w:t>link</w:t>
                        </w:r>
                      </w:hyperlink>
                      <w:r w:rsidR="00853A89" w:rsidRPr="00853A8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E43D5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8A3BD1B" wp14:editId="7BFBB04D">
                <wp:simplePos x="0" y="0"/>
                <wp:positionH relativeFrom="page">
                  <wp:posOffset>962025</wp:posOffset>
                </wp:positionH>
                <wp:positionV relativeFrom="page">
                  <wp:posOffset>3171825</wp:posOffset>
                </wp:positionV>
                <wp:extent cx="5819775" cy="1952625"/>
                <wp:effectExtent l="19050" t="19050" r="28575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952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9311E" w14:textId="77777777" w:rsidR="00A027D0" w:rsidRDefault="00F70E49" w:rsidP="00A027D0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</w:t>
                            </w:r>
                            <w:r>
                              <w:rPr>
                                <w:b/>
                                <w:i/>
                              </w:rPr>
                              <w:t>y is there a need for action?</w:t>
                            </w:r>
                          </w:p>
                          <w:p w14:paraId="11212AE6" w14:textId="01A76340" w:rsidR="009E43D5" w:rsidRPr="009E43D5" w:rsidRDefault="00343681" w:rsidP="009E43D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43D5">
                              <w:rPr>
                                <w:sz w:val="20"/>
                                <w:szCs w:val="20"/>
                              </w:rPr>
                              <w:t>Substances that are carcinogenic, mutagenic or toxic to reproduction (CMRs) are of specific concern due to the long term and serious effects that they may exert on human health.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 xml:space="preserve">  CMRs  Category 1A and 1B are s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 xml:space="preserve">ubstances known 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 xml:space="preserve">or presumed 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>to have ca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>rcinogenic potential for humans; known or presumed to ind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>uce hereditary mutati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 xml:space="preserve">ons in the germ cells of humans;and substances known or presumed to be toxic for human reproduction.  The European Chemicals Agency (ECHA) has compiled a list of 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 xml:space="preserve">291 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 xml:space="preserve">such 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 xml:space="preserve">substances which 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>could be present</w:t>
                            </w:r>
                            <w:r w:rsidR="009E43D5" w:rsidRPr="009E43D5">
                              <w:rPr>
                                <w:sz w:val="20"/>
                                <w:szCs w:val="20"/>
                              </w:rPr>
                              <w:t xml:space="preserve"> in textile or</w:t>
                            </w:r>
                            <w:r w:rsidR="009E43D5">
                              <w:rPr>
                                <w:sz w:val="20"/>
                                <w:szCs w:val="20"/>
                              </w:rPr>
                              <w:t xml:space="preserve"> clothing articles.  The concern is such substances would be in prolonged contact with human skin and could impact human health.</w:t>
                            </w:r>
                          </w:p>
                          <w:p w14:paraId="64E6F04C" w14:textId="407763AA" w:rsidR="00D07539" w:rsidRPr="009E43D5" w:rsidRDefault="009E43D5" w:rsidP="009E43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3D5">
                              <w:rPr>
                                <w:sz w:val="20"/>
                                <w:szCs w:val="20"/>
                              </w:rPr>
                              <w:t>clothing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75.75pt;margin-top:249.75pt;width:458.2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" o:allowincell="f" fillcolor="#dbe5f1 [660]" strokecolor="#4f81bd [3204]" strokeweight="3pt">
                <v:textbox>
                  <w:txbxContent>
                    <w:p w14:paraId="1439311E" w14:textId="77777777" w:rsidR="00A027D0" w:rsidRDefault="00F70E49" w:rsidP="00A027D0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</w:t>
                      </w:r>
                      <w:r>
                        <w:rPr>
                          <w:b/>
                          <w:i/>
                        </w:rPr>
                        <w:t>y is there a need for action?</w:t>
                      </w:r>
                    </w:p>
                    <w:p w14:paraId="11212AE6" w14:textId="01A76340" w:rsidR="009E43D5" w:rsidRPr="009E43D5" w:rsidRDefault="00343681" w:rsidP="009E43D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E43D5">
                        <w:rPr>
                          <w:sz w:val="20"/>
                          <w:szCs w:val="20"/>
                        </w:rPr>
                        <w:t>Substances that are carcinogenic, mutagenic or toxic to reproduction (CMRs) are of specific concern due to the long term and serious effects that they may exert on human health.</w:t>
                      </w:r>
                      <w:r w:rsidR="009E43D5">
                        <w:rPr>
                          <w:sz w:val="20"/>
                          <w:szCs w:val="20"/>
                        </w:rPr>
                        <w:t xml:space="preserve">  CMRs  Category 1A and 1B are s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 xml:space="preserve">ubstances known </w:t>
                      </w:r>
                      <w:r w:rsidR="009E43D5">
                        <w:rPr>
                          <w:sz w:val="20"/>
                          <w:szCs w:val="20"/>
                        </w:rPr>
                        <w:t xml:space="preserve">or presumed 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>to have ca</w:t>
                      </w:r>
                      <w:r w:rsidR="009E43D5">
                        <w:rPr>
                          <w:sz w:val="20"/>
                          <w:szCs w:val="20"/>
                        </w:rPr>
                        <w:t>rcinogenic potential for humans; known or presumed to ind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>uce hereditary mutati</w:t>
                      </w:r>
                      <w:r w:rsidR="009E43D5">
                        <w:rPr>
                          <w:sz w:val="20"/>
                          <w:szCs w:val="20"/>
                        </w:rPr>
                        <w:t xml:space="preserve">ons in the germ cells of humans;and substances known or presumed to be toxic for human reproduction.  The European Chemicals Agency (ECHA) has compiled a list of 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 xml:space="preserve">291 </w:t>
                      </w:r>
                      <w:r w:rsidR="009E43D5">
                        <w:rPr>
                          <w:sz w:val="20"/>
                          <w:szCs w:val="20"/>
                        </w:rPr>
                        <w:t xml:space="preserve">such 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 xml:space="preserve">substances which </w:t>
                      </w:r>
                      <w:r w:rsidR="009E43D5">
                        <w:rPr>
                          <w:sz w:val="20"/>
                          <w:szCs w:val="20"/>
                        </w:rPr>
                        <w:t>could be present</w:t>
                      </w:r>
                      <w:r w:rsidR="009E43D5" w:rsidRPr="009E43D5">
                        <w:rPr>
                          <w:sz w:val="20"/>
                          <w:szCs w:val="20"/>
                        </w:rPr>
                        <w:t xml:space="preserve"> in textile or</w:t>
                      </w:r>
                      <w:r w:rsidR="009E43D5">
                        <w:rPr>
                          <w:sz w:val="20"/>
                          <w:szCs w:val="20"/>
                        </w:rPr>
                        <w:t xml:space="preserve"> clothing articles.  The concern is such substances would be in prolonged contact with human skin and could impact human health.</w:t>
                      </w:r>
                    </w:p>
                    <w:p w14:paraId="64E6F04C" w14:textId="407763AA" w:rsidR="00D07539" w:rsidRPr="009E43D5" w:rsidRDefault="009E43D5" w:rsidP="009E43D5">
                      <w:pPr>
                        <w:rPr>
                          <w:sz w:val="20"/>
                          <w:szCs w:val="20"/>
                        </w:rPr>
                      </w:pPr>
                      <w:r w:rsidRPr="009E43D5">
                        <w:rPr>
                          <w:sz w:val="20"/>
                          <w:szCs w:val="20"/>
                        </w:rPr>
                        <w:t>clothing articles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343681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1B96FC" wp14:editId="6E4E461D">
                <wp:simplePos x="0" y="0"/>
                <wp:positionH relativeFrom="page">
                  <wp:posOffset>962025</wp:posOffset>
                </wp:positionH>
                <wp:positionV relativeFrom="page">
                  <wp:posOffset>5353050</wp:posOffset>
                </wp:positionV>
                <wp:extent cx="5819775" cy="990600"/>
                <wp:effectExtent l="19050" t="19050" r="28575" b="1905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90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A6261" w14:textId="4093E839" w:rsidR="009F70D8" w:rsidRDefault="009F70D8" w:rsidP="00721CA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What will the restrictio</w:t>
                            </w:r>
                            <w:r w:rsidR="0062587F">
                              <w:rPr>
                                <w:b/>
                                <w:bCs/>
                                <w:i/>
                                <w:iCs/>
                              </w:rPr>
                              <w:t>n mean</w:t>
                            </w:r>
                            <w:r w:rsidR="000676B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in practice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?</w:t>
                            </w:r>
                          </w:p>
                          <w:p w14:paraId="7746A97F" w14:textId="1E4C6734" w:rsidR="009A2019" w:rsidRPr="009A2019" w:rsidRDefault="006B1607" w:rsidP="00853A89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6B160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proposed restriction will </w:t>
                            </w:r>
                            <w:r w:rsidR="009E43D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place a ban on the presence of the listed CMR substances in textile or clothing articles.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A8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Further details on the restriction can be read </w:t>
                            </w:r>
                            <w:hyperlink r:id="rId16" w:history="1">
                              <w:r w:rsidR="00853A89">
                                <w:rPr>
                                  <w:rStyle w:val="Hyperlink"/>
                                  <w:bCs/>
                                  <w:iCs/>
                                  <w:sz w:val="20"/>
                                  <w:szCs w:val="20"/>
                                </w:rPr>
                                <w:t>here.</w:t>
                              </w:r>
                            </w:hyperlink>
                            <w:r w:rsidR="00853A8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75.75pt;margin-top:421.5pt;width:45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" o:allowincell="f" fillcolor="#daeef3 [664]" strokecolor="#4f81bd [3204]" strokeweight="3pt">
                <v:textbox>
                  <w:txbxContent>
                    <w:p w14:paraId="0A7A6261" w14:textId="4093E839" w:rsidR="009F70D8" w:rsidRDefault="009F70D8" w:rsidP="00721CA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What will the restrictio</w:t>
                      </w:r>
                      <w:r w:rsidR="0062587F">
                        <w:rPr>
                          <w:b/>
                          <w:bCs/>
                          <w:i/>
                          <w:iCs/>
                        </w:rPr>
                        <w:t>n mean</w:t>
                      </w:r>
                      <w:r w:rsidR="000676B5">
                        <w:rPr>
                          <w:b/>
                          <w:bCs/>
                          <w:i/>
                          <w:iCs/>
                        </w:rPr>
                        <w:t xml:space="preserve"> in practice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?</w:t>
                      </w:r>
                    </w:p>
                    <w:p w14:paraId="7746A97F" w14:textId="1E4C6734" w:rsidR="009A2019" w:rsidRPr="009A2019" w:rsidRDefault="006B1607" w:rsidP="00853A89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6B1607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The proposed restriction will </w:t>
                      </w:r>
                      <w:r w:rsidR="009E43D5">
                        <w:rPr>
                          <w:bCs/>
                          <w:iCs/>
                          <w:sz w:val="20"/>
                          <w:szCs w:val="20"/>
                        </w:rPr>
                        <w:t>place a ban on the presence of the listed CMR substances in textile or clothing articles.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53A8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Further details on the restriction can be read </w:t>
                      </w:r>
                      <w:hyperlink r:id="rId17" w:history="1">
                        <w:r w:rsidR="00853A89">
                          <w:rPr>
                            <w:rStyle w:val="Hyperlink"/>
                            <w:bCs/>
                            <w:iCs/>
                            <w:sz w:val="20"/>
                            <w:szCs w:val="20"/>
                          </w:rPr>
                          <w:t>here.</w:t>
                        </w:r>
                      </w:hyperlink>
                      <w:r w:rsidR="00853A8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A74F0C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F623" wp14:editId="3B181E61">
                <wp:simplePos x="0" y="0"/>
                <wp:positionH relativeFrom="column">
                  <wp:posOffset>47625</wp:posOffset>
                </wp:positionH>
                <wp:positionV relativeFrom="paragraph">
                  <wp:posOffset>7448550</wp:posOffset>
                </wp:positionV>
                <wp:extent cx="57245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143" w14:textId="44582DCE" w:rsidR="00E334C4" w:rsidRPr="00721CA7" w:rsidRDefault="00E334C4" w:rsidP="0064202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The Chemicals Helpdesk of the Health &amp; Safety Authority can answer any questions you may have; please contact the team at </w:t>
                            </w:r>
                            <w:hyperlink r:id="rId18" w:history="1">
                              <w:r w:rsidR="00F9767D" w:rsidRPr="00E74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chemicals@hsa.ie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A8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642024" w:rsidRPr="0064202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420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A89">
                              <w:rPr>
                                <w:sz w:val="20"/>
                                <w:szCs w:val="20"/>
                              </w:rPr>
                              <w:t>Novem</w:t>
                            </w:r>
                            <w:r w:rsidR="009A2019">
                              <w:rPr>
                                <w:sz w:val="20"/>
                                <w:szCs w:val="20"/>
                              </w:rPr>
                              <w:t>ber</w:t>
                            </w:r>
                            <w:r w:rsidR="006B1607">
                              <w:rPr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.75pt;margin-top:586.5pt;width:450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">
                <v:textbox>
                  <w:txbxContent>
                    <w:p w14:paraId="4FE58143" w14:textId="44582DCE" w:rsidR="00E334C4" w:rsidRPr="00721CA7" w:rsidRDefault="00E334C4" w:rsidP="0064202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21CA7">
                        <w:rPr>
                          <w:sz w:val="20"/>
                          <w:szCs w:val="20"/>
                        </w:rPr>
                        <w:t xml:space="preserve">The Chemicals Helpdesk of the Health &amp; Safety Authority can answer any questions you may have; please contact the team at </w:t>
                      </w:r>
                      <w:hyperlink r:id="rId19" w:history="1">
                        <w:r w:rsidR="00F9767D" w:rsidRPr="00E74927">
                          <w:rPr>
                            <w:rStyle w:val="Hyperlink"/>
                            <w:sz w:val="20"/>
                            <w:szCs w:val="20"/>
                          </w:rPr>
                          <w:t>chemicals@hsa.ie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C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A89">
                        <w:rPr>
                          <w:sz w:val="20"/>
                          <w:szCs w:val="20"/>
                        </w:rPr>
                        <w:t>20</w:t>
                      </w:r>
                      <w:r w:rsidR="00642024" w:rsidRPr="0064202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420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A89">
                        <w:rPr>
                          <w:sz w:val="20"/>
                          <w:szCs w:val="20"/>
                        </w:rPr>
                        <w:t>Novem</w:t>
                      </w:r>
                      <w:r w:rsidR="009A2019">
                        <w:rPr>
                          <w:sz w:val="20"/>
                          <w:szCs w:val="20"/>
                        </w:rPr>
                        <w:t>ber</w:t>
                      </w:r>
                      <w:r w:rsidR="006B1607">
                        <w:rPr>
                          <w:sz w:val="20"/>
                          <w:szCs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502372" w:rsidRPr="00502372">
        <w:t xml:space="preserve"> </w:t>
      </w:r>
      <w:r w:rsidR="00502372" w:rsidRPr="00502372">
        <w:rPr>
          <w:b/>
          <w:noProof/>
          <w:lang w:val="en-GB" w:eastAsia="en-GB"/>
        </w:rPr>
        <w:t xml:space="preserve">Proposed restriction of hazardous substances (CMR 1A and 1B) in textile articles and clothing </w:t>
      </w:r>
    </w:p>
    <w:sectPr w:rsidR="00850BA7" w:rsidRPr="0050237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21A3" w14:textId="77777777" w:rsidR="0051384E" w:rsidRDefault="0051384E" w:rsidP="00AA210E">
      <w:pPr>
        <w:spacing w:after="0" w:line="240" w:lineRule="auto"/>
      </w:pPr>
      <w:r>
        <w:separator/>
      </w:r>
    </w:p>
  </w:endnote>
  <w:endnote w:type="continuationSeparator" w:id="0">
    <w:p w14:paraId="464C3C3E" w14:textId="77777777" w:rsidR="0051384E" w:rsidRDefault="0051384E" w:rsidP="00A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E380" w14:textId="77777777" w:rsidR="00AA210E" w:rsidRDefault="00AA210E"/>
  <w:p w14:paraId="74383853" w14:textId="77777777" w:rsidR="00AA210E" w:rsidRDefault="00AA210E" w:rsidP="00AA210E">
    <w:pPr>
      <w:pStyle w:val="FooterOdd"/>
      <w:ind w:left="6480" w:firstLine="720"/>
      <w:jc w:val="left"/>
    </w:pPr>
    <w:r>
      <w:rPr>
        <w:noProof/>
        <w:lang w:val="en-GB" w:eastAsia="en-GB"/>
      </w:rPr>
      <w:drawing>
        <wp:inline distT="0" distB="0" distL="0" distR="0" wp14:anchorId="5A502C22" wp14:editId="50B9FF0C">
          <wp:extent cx="76200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CA28" w14:textId="77777777" w:rsidR="00AA210E" w:rsidRDefault="00AA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E613" w14:textId="77777777" w:rsidR="0051384E" w:rsidRDefault="0051384E" w:rsidP="00AA210E">
      <w:pPr>
        <w:spacing w:after="0" w:line="240" w:lineRule="auto"/>
      </w:pPr>
      <w:r>
        <w:separator/>
      </w:r>
    </w:p>
  </w:footnote>
  <w:footnote w:type="continuationSeparator" w:id="0">
    <w:p w14:paraId="7B0B3F0D" w14:textId="77777777" w:rsidR="0051384E" w:rsidRDefault="0051384E" w:rsidP="00AA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4"/>
    <w:rsid w:val="000676B5"/>
    <w:rsid w:val="00101146"/>
    <w:rsid w:val="001569C1"/>
    <w:rsid w:val="00216F99"/>
    <w:rsid w:val="002D335E"/>
    <w:rsid w:val="002E5CC4"/>
    <w:rsid w:val="002F3245"/>
    <w:rsid w:val="00301D66"/>
    <w:rsid w:val="00343681"/>
    <w:rsid w:val="004670DE"/>
    <w:rsid w:val="00482C77"/>
    <w:rsid w:val="00495FE4"/>
    <w:rsid w:val="00502372"/>
    <w:rsid w:val="0051384E"/>
    <w:rsid w:val="0052499E"/>
    <w:rsid w:val="00607E11"/>
    <w:rsid w:val="0062587F"/>
    <w:rsid w:val="00642024"/>
    <w:rsid w:val="006A72AC"/>
    <w:rsid w:val="006B1607"/>
    <w:rsid w:val="00721CA7"/>
    <w:rsid w:val="007247C4"/>
    <w:rsid w:val="00803D4C"/>
    <w:rsid w:val="00850BA7"/>
    <w:rsid w:val="00853A89"/>
    <w:rsid w:val="0092371B"/>
    <w:rsid w:val="00965DD5"/>
    <w:rsid w:val="009A2019"/>
    <w:rsid w:val="009E43D5"/>
    <w:rsid w:val="009F70D8"/>
    <w:rsid w:val="00A027D0"/>
    <w:rsid w:val="00A37C4A"/>
    <w:rsid w:val="00A540C7"/>
    <w:rsid w:val="00A74F0C"/>
    <w:rsid w:val="00AA210E"/>
    <w:rsid w:val="00AA7AC6"/>
    <w:rsid w:val="00B0174C"/>
    <w:rsid w:val="00B61F35"/>
    <w:rsid w:val="00B945C8"/>
    <w:rsid w:val="00BA5A8E"/>
    <w:rsid w:val="00BE172B"/>
    <w:rsid w:val="00D07539"/>
    <w:rsid w:val="00D77B32"/>
    <w:rsid w:val="00D87B41"/>
    <w:rsid w:val="00E334C4"/>
    <w:rsid w:val="00E3472B"/>
    <w:rsid w:val="00EA357B"/>
    <w:rsid w:val="00ED2228"/>
    <w:rsid w:val="00F22E71"/>
    <w:rsid w:val="00F60E02"/>
    <w:rsid w:val="00F70E49"/>
    <w:rsid w:val="00F9767D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3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.europa.eu/growth/tools-databases/newsroom/cf/itemdetail.cfm?item_id=8299" TargetMode="External"/><Relationship Id="rId18" Type="http://schemas.openxmlformats.org/officeDocument/2006/relationships/hyperlink" Target="mailto:chemicals@hsa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ec.europa.eu/growth/tools-databases/newsroom/cf/itemdetail.cfm?item_id=8299" TargetMode="External"/><Relationship Id="rId17" Type="http://schemas.openxmlformats.org/officeDocument/2006/relationships/hyperlink" Target="file:///C:\Users\kevin_buckley\Downloads\List%20of%20CMR%20substances%20-%20Backgroun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evin_buckley\Downloads\List%20of%20CMR%20substances%20-%20Background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growth/tools-databases/newsroom/cf/itemdetail.cfm?item_id=8299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hemicals@hsa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growth/tools-databases/newsroom/cf/itemdetail.cfm?item_id=829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2339</Value>
      <Value>6194</Value>
      <Value>56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Management Related Tasks</TermName>
          <TermId xmlns="http://schemas.microsoft.com/office/infopath/2007/PartnerControls">bc00e2e3-b1ef-49ce-953d-fa476f8c73d1</TermId>
        </TermInfo>
      </Terms>
    </l0439d673390432c8f4760c5a455ac93>
    <Date1 xmlns="f2722de8-a3c4-44f7-809c-5aae864989b7">2015-11-20T00:00:00+00:00</Date1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Paper (ppr)</TermName>
          <TermId xmlns="http://schemas.microsoft.com/office/infopath/2007/PartnerControls">3b3b72c5-b0b4-4de9-9540-fca17b0c7e96</TermId>
        </TermInfo>
      </Terms>
    </n0931430ca494154b9c352ba38783a91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6b776dc0-73c8-49cc-a8c8-19ee3050bac2</TermId>
        </TermInfo>
      </Terms>
    </j3dcd20625fb4e509c8810f6c12f130a>
    <PublishingExpirationDate xmlns="http://schemas.microsoft.com/sharepoint/v3" xsi:nil="true"/>
    <PublishingStartDate xmlns="http://schemas.microsoft.com/sharepoint/v3" xsi:nil="true"/>
    <_dlc_DocId xmlns="f2722de8-a3c4-44f7-809c-5aae864989b7">RVSECDK7SQEP-385-37193</_dlc_DocId>
    <_dlc_DocIdUrl xmlns="f2722de8-a3c4-44f7-809c-5aae864989b7">
      <Url>http://shareflow/CBS/reach/_layouts/DocIdRedir.aspx?ID=RVSECDK7SQEP-385-37193</Url>
      <Description>RVSECDK7SQEP-385-37193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2D374867E4656840BB2F8C5B77044997" ma:contentTypeVersion="48" ma:contentTypeDescription="HSA Document - base content type all document in ShareFlow must inherit from." ma:contentTypeScope="" ma:versionID="71a7e26d47d2ff055e46e544968c0e6f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targetNamespace="http://schemas.microsoft.com/office/2006/metadata/properties" ma:root="true" ma:fieldsID="645af9b31ae33739c2d07e481dca606a" ns1:_="" ns2:_="">
    <xsd:import namespace="http://schemas.microsoft.com/sharepoint/v3"/>
    <xsd:import namespace="f2722de8-a3c4-44f7-809c-5aae864989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Date1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1" nillable="true" ma:displayName="Scheduling End Date" ma:internalName="PublishingExpirationDate">
      <xsd:simpleType>
        <xsd:restriction base="dms:Unknown"/>
      </xsd:simpleType>
    </xsd:element>
    <xsd:element name="PublishingStartDate" ma:index="22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2baf6e6e-11de-4fe3-9efd-b73a31656966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1" ma:index="15" ma:displayName="Date" ma:default="[today]" ma:format="DateOnly" ma:internalName="Date1" ma:readOnly="false">
      <xsd:simpleType>
        <xsd:restriction base="dms:DateTime"/>
      </xsd:simpleType>
    </xsd:element>
    <xsd:element name="n0931430ca494154b9c352ba38783a91" ma:index="17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9" nillable="true" ma:taxonomy="true" ma:internalName="j3dcd20625fb4e509c8810f6c12f130a" ma:taxonomyFieldName="Year" ma:displayName="Year" ma:indexed="true" ma:default="6194;#2015|6b776dc0-73c8-49cc-a8c8-19ee3050bac2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6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47216-DBB8-45D7-8B74-703BFA32AE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F48A48-1F79-494E-8CAF-3D9A27C464C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2722de8-a3c4-44f7-809c-5aae864989b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42911-82F5-4346-A43D-88D8F292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6D1BB-B555-4D1C-875C-82E73EC7EB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124C19-6697-462C-BB52-F75DE955F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 background document public consult.docx</vt:lpstr>
    </vt:vector>
  </TitlesOfParts>
  <Company>HSA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 background document public consult.docx</dc:title>
  <dc:creator>Kevin Buckley</dc:creator>
  <cp:lastModifiedBy>Kevin Buckley</cp:lastModifiedBy>
  <cp:revision>2</cp:revision>
  <dcterms:created xsi:type="dcterms:W3CDTF">2015-11-20T15:57:00Z</dcterms:created>
  <dcterms:modified xsi:type="dcterms:W3CDTF">2015-11-20T15:57:00Z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0x010100F1BA95422BE1A64DA19DE90A58AEB602002D374867E4656840BB2F8C5B77044997</vt:lpwstr>
  </property>
  <property fmtid="{D5CDD505-2E9C-101B-9397-08002B2CF9AE}" pid="3" name="Year">
    <vt:lpwstr>6194</vt:lpwstr>
  </property>
  <property fmtid="{D5CDD505-2E9C-101B-9397-08002B2CF9AE}" pid="4" name="Classification_x0020_Scheme">
    <vt:lpwstr>2337;#Restriction Related Tasks|87edc601-eff8-411b-bd27-c2b08b43595f</vt:lpwstr>
  </property>
  <property fmtid="{D5CDD505-2E9C-101B-9397-08002B2CF9AE}" pid="5" name="Record_x0020_Type">
    <vt:lpwstr>56;#Paper (ppr)|3b3b72c5-b0b4-4de9-9540-fca17b0c7e96</vt:lpwstr>
  </property>
  <property fmtid="{D5CDD505-2E9C-101B-9397-08002B2CF9AE}" pid="6" name="Classification Scheme">
    <vt:lpwstr>2339</vt:lpwstr>
  </property>
  <property fmtid="{D5CDD505-2E9C-101B-9397-08002B2CF9AE}" pid="7" name="Record Type">
    <vt:lpwstr>56</vt:lpwstr>
  </property>
  <property fmtid="{D5CDD505-2E9C-101B-9397-08002B2CF9AE}" pid="8" name="_dlc_DocIdItemGuid">
    <vt:lpwstr>0c357446-c9a8-413e-a5c2-4a59b0d01758</vt:lpwstr>
  </property>
  <property fmtid="{D5CDD505-2E9C-101B-9397-08002B2CF9AE}" pid="9" name="Order">
    <vt:r8>3462100</vt:r8>
  </property>
  <property fmtid="{D5CDD505-2E9C-101B-9397-08002B2CF9AE}" pid="10" name="Title">
    <vt:lpwstr>NMP background document public consult.docx</vt:lpwstr>
  </property>
  <property fmtid="{D5CDD505-2E9C-101B-9397-08002B2CF9AE}" pid="11" name="TaxCatchAll">
    <vt:lpwstr/>
  </property>
  <property fmtid="{D5CDD505-2E9C-101B-9397-08002B2CF9AE}" pid="12" name="l0439d673390432c8f4760c5a455ac93">
    <vt:lpwstr>Textiles|74bd67fd-4ee6-41f9-9d2e-5dd33fc88759</vt:lpwstr>
  </property>
  <property fmtid="{D5CDD505-2E9C-101B-9397-08002B2CF9AE}" pid="13" name="Date1">
    <vt:lpwstr>2015-11-20T00:00:00</vt:lpwstr>
  </property>
  <property fmtid="{D5CDD505-2E9C-101B-9397-08002B2CF9AE}" pid="14" name="_Author">
    <vt:lpwstr>Kevin Buckley</vt:lpwstr>
  </property>
  <property fmtid="{D5CDD505-2E9C-101B-9397-08002B2CF9AE}" pid="15" name="n0931430ca494154b9c352ba38783a91">
    <vt:lpwstr>Paper (ppr)|3b3b72c5-b0b4-4de9-9540-fca17b0c7e96</vt:lpwstr>
  </property>
  <property fmtid="{D5CDD505-2E9C-101B-9397-08002B2CF9AE}" pid="16" name="j3dcd20625fb4e509c8810f6c12f130a">
    <vt:lpwstr>2015|6b776dc0-73c8-49cc-a8c8-19ee3050bac2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</Properties>
</file>