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5E0" w:rsidRPr="00170689" w:rsidRDefault="005415E0">
      <w:pPr>
        <w:pStyle w:val="Tekstpodstawowy"/>
        <w:spacing w:before="2"/>
        <w:rPr>
          <w:rFonts w:asciiTheme="minorHAnsi" w:hAnsiTheme="minorHAnsi" w:cstheme="minorHAnsi"/>
          <w:sz w:val="11"/>
        </w:rPr>
      </w:pPr>
      <w:bookmarkStart w:id="0" w:name="_GoBack"/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04"/>
        <w:gridCol w:w="1049"/>
        <w:gridCol w:w="4224"/>
        <w:gridCol w:w="907"/>
        <w:gridCol w:w="2551"/>
        <w:gridCol w:w="1417"/>
        <w:gridCol w:w="1417"/>
      </w:tblGrid>
      <w:tr w:rsidR="005415E0" w:rsidRPr="00170689" w:rsidTr="001319B1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415E0" w:rsidRPr="00170689" w:rsidRDefault="0071106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70689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415E0" w:rsidRPr="00170689" w:rsidRDefault="00711061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170689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415E0" w:rsidRPr="00170689" w:rsidRDefault="00711061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70689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415E0" w:rsidRPr="00170689" w:rsidRDefault="00711061">
            <w:pPr>
              <w:pStyle w:val="TableParagraph"/>
              <w:spacing w:before="3" w:line="220" w:lineRule="auto"/>
              <w:ind w:left="60" w:right="189"/>
              <w:rPr>
                <w:rFonts w:asciiTheme="minorHAnsi" w:hAnsiTheme="minorHAnsi" w:cstheme="minorHAnsi"/>
                <w:b/>
                <w:sz w:val="19"/>
              </w:rPr>
            </w:pPr>
            <w:r w:rsidRPr="00170689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415E0" w:rsidRPr="00170689" w:rsidRDefault="00711061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70689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170689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5415E0" w:rsidRPr="00170689" w:rsidRDefault="00711061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170689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415E0" w:rsidRPr="00170689" w:rsidRDefault="00711061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170689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1319B1" w:rsidRPr="00170689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170689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415E0" w:rsidRPr="00170689" w:rsidRDefault="00711061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70689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415E0" w:rsidRPr="00170689" w:rsidRDefault="00711061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170689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170689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170689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170689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170689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5415E0" w:rsidRPr="00170689" w:rsidRDefault="00711061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70689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415E0" w:rsidRPr="00170689" w:rsidRDefault="00711061">
            <w:pPr>
              <w:pStyle w:val="TableParagraph"/>
              <w:spacing w:before="29" w:line="189" w:lineRule="auto"/>
              <w:ind w:left="60" w:right="106"/>
              <w:rPr>
                <w:rFonts w:asciiTheme="minorHAnsi" w:hAnsiTheme="minorHAnsi" w:cstheme="minorHAnsi"/>
                <w:b/>
                <w:sz w:val="19"/>
              </w:rPr>
            </w:pPr>
            <w:r w:rsidRPr="00170689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170689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170689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170689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170689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170689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170689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415E0" w:rsidRPr="00170689" w:rsidRDefault="00711061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70689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415E0" w:rsidRPr="00170689" w:rsidRDefault="00711061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70689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5415E0" w:rsidRPr="00170689">
        <w:trPr>
          <w:trHeight w:val="1089"/>
        </w:trPr>
        <w:tc>
          <w:tcPr>
            <w:tcW w:w="1361" w:type="dxa"/>
          </w:tcPr>
          <w:p w:rsidR="005415E0" w:rsidRPr="00170689" w:rsidRDefault="00711061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z w:val="19"/>
              </w:rPr>
              <w:t>Broken glass</w:t>
            </w:r>
          </w:p>
        </w:tc>
        <w:tc>
          <w:tcPr>
            <w:tcW w:w="945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5415E0" w:rsidRPr="00170689" w:rsidRDefault="00711061">
            <w:pPr>
              <w:pStyle w:val="TableParagraph"/>
              <w:spacing w:before="34" w:line="211" w:lineRule="auto"/>
              <w:ind w:left="56" w:right="269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z w:val="19"/>
              </w:rPr>
              <w:t>Cuts/ lacerations</w:t>
            </w:r>
          </w:p>
        </w:tc>
        <w:tc>
          <w:tcPr>
            <w:tcW w:w="1049" w:type="dxa"/>
          </w:tcPr>
          <w:p w:rsidR="005415E0" w:rsidRPr="00170689" w:rsidRDefault="00711061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5415E0" w:rsidRPr="00170689" w:rsidRDefault="00711061">
            <w:pPr>
              <w:pStyle w:val="TableParagraph"/>
              <w:spacing w:before="10" w:line="420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Only lab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grade </w:t>
            </w: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glassware </w:t>
            </w: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experiments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Safe placement </w:t>
            </w: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>glass</w:t>
            </w:r>
          </w:p>
          <w:p w:rsidR="005415E0" w:rsidRPr="00170689" w:rsidRDefault="00711061">
            <w:pPr>
              <w:pStyle w:val="TableParagraph"/>
              <w:spacing w:before="2"/>
              <w:ind w:left="55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z w:val="19"/>
              </w:rPr>
              <w:t>No over carrying</w:t>
            </w:r>
          </w:p>
        </w:tc>
        <w:tc>
          <w:tcPr>
            <w:tcW w:w="907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415E0" w:rsidRPr="00170689">
        <w:trPr>
          <w:trHeight w:val="1889"/>
        </w:trPr>
        <w:tc>
          <w:tcPr>
            <w:tcW w:w="1361" w:type="dxa"/>
          </w:tcPr>
          <w:p w:rsidR="005415E0" w:rsidRPr="00170689" w:rsidRDefault="00711061">
            <w:pPr>
              <w:pStyle w:val="TableParagraph"/>
              <w:spacing w:before="34" w:line="211" w:lineRule="auto"/>
              <w:ind w:left="56" w:right="59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Glassware breaking </w:t>
            </w: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trying </w:t>
            </w:r>
            <w:r w:rsidRPr="00170689">
              <w:rPr>
                <w:rFonts w:asciiTheme="minorHAnsi" w:hAnsiTheme="minorHAnsi" w:cstheme="minorHAnsi"/>
                <w:spacing w:val="-14"/>
                <w:sz w:val="19"/>
              </w:rPr>
              <w:t xml:space="preserve">to </w:t>
            </w: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release seized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stoppers and </w:t>
            </w: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stopcocks, </w:t>
            </w:r>
            <w:r w:rsidRPr="00170689">
              <w:rPr>
                <w:rFonts w:asciiTheme="minorHAnsi" w:hAnsiTheme="minorHAnsi" w:cstheme="minorHAnsi"/>
                <w:spacing w:val="-7"/>
                <w:sz w:val="19"/>
              </w:rPr>
              <w:t xml:space="preserve">forcing </w:t>
            </w: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glassware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>into bungs</w:t>
            </w:r>
          </w:p>
        </w:tc>
        <w:tc>
          <w:tcPr>
            <w:tcW w:w="945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5415E0" w:rsidRPr="00170689" w:rsidRDefault="00711061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z w:val="19"/>
              </w:rPr>
              <w:t>Cuts</w:t>
            </w:r>
          </w:p>
        </w:tc>
        <w:tc>
          <w:tcPr>
            <w:tcW w:w="1049" w:type="dxa"/>
          </w:tcPr>
          <w:p w:rsidR="005415E0" w:rsidRPr="00170689" w:rsidRDefault="00711061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5415E0" w:rsidRPr="00170689" w:rsidRDefault="00711061">
            <w:pPr>
              <w:pStyle w:val="TableParagraph"/>
              <w:spacing w:before="34" w:line="211" w:lineRule="auto"/>
              <w:ind w:left="55" w:right="27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teacher </w:t>
            </w: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insert </w:t>
            </w:r>
            <w:r w:rsidRPr="00170689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remove </w:t>
            </w: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glass </w:t>
            </w:r>
            <w:r w:rsidRPr="00170689">
              <w:rPr>
                <w:rFonts w:asciiTheme="minorHAnsi" w:hAnsiTheme="minorHAnsi" w:cstheme="minorHAnsi"/>
                <w:spacing w:val="-7"/>
                <w:sz w:val="19"/>
              </w:rPr>
              <w:t xml:space="preserve">from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bungs, </w:t>
            </w: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cut glass </w:t>
            </w:r>
            <w:r w:rsidRPr="00170689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release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>seized stoppers</w:t>
            </w:r>
          </w:p>
        </w:tc>
        <w:tc>
          <w:tcPr>
            <w:tcW w:w="907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415E0" w:rsidRPr="00170689">
        <w:trPr>
          <w:trHeight w:val="889"/>
        </w:trPr>
        <w:tc>
          <w:tcPr>
            <w:tcW w:w="1361" w:type="dxa"/>
          </w:tcPr>
          <w:p w:rsidR="005415E0" w:rsidRPr="00170689" w:rsidRDefault="00711061">
            <w:pPr>
              <w:pStyle w:val="TableParagraph"/>
              <w:spacing w:before="34" w:line="211" w:lineRule="auto"/>
              <w:ind w:left="56" w:right="38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z w:val="19"/>
              </w:rPr>
              <w:t>Broken glassware disposed of in general waste</w:t>
            </w:r>
          </w:p>
        </w:tc>
        <w:tc>
          <w:tcPr>
            <w:tcW w:w="945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5415E0" w:rsidRPr="00170689" w:rsidRDefault="00711061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z w:val="19"/>
              </w:rPr>
              <w:t>Injury Cuts</w:t>
            </w:r>
          </w:p>
        </w:tc>
        <w:tc>
          <w:tcPr>
            <w:tcW w:w="1049" w:type="dxa"/>
          </w:tcPr>
          <w:p w:rsidR="005415E0" w:rsidRPr="00170689" w:rsidRDefault="00711061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5415E0" w:rsidRPr="00170689" w:rsidRDefault="00711061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Broken glassware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disposed </w:t>
            </w: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70689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separate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bin marked </w:t>
            </w: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‘Broken </w:t>
            </w:r>
            <w:r w:rsidRPr="00170689">
              <w:rPr>
                <w:rFonts w:asciiTheme="minorHAnsi" w:hAnsiTheme="minorHAnsi" w:cstheme="minorHAnsi"/>
                <w:spacing w:val="-8"/>
                <w:sz w:val="19"/>
              </w:rPr>
              <w:t xml:space="preserve">glassware’. </w:t>
            </w:r>
            <w:r w:rsidRPr="00170689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bin liner </w:t>
            </w:r>
            <w:r w:rsidRPr="00170689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>bin</w:t>
            </w:r>
          </w:p>
        </w:tc>
        <w:tc>
          <w:tcPr>
            <w:tcW w:w="907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415E0" w:rsidRPr="00170689">
        <w:trPr>
          <w:trHeight w:val="1689"/>
        </w:trPr>
        <w:tc>
          <w:tcPr>
            <w:tcW w:w="1361" w:type="dxa"/>
          </w:tcPr>
          <w:p w:rsidR="005415E0" w:rsidRPr="00170689" w:rsidRDefault="00711061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z w:val="19"/>
              </w:rPr>
              <w:t>Defective glassware/ glass equipment</w:t>
            </w:r>
          </w:p>
          <w:p w:rsidR="005415E0" w:rsidRPr="00170689" w:rsidRDefault="005415E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5415E0" w:rsidRPr="00170689" w:rsidRDefault="00711061">
            <w:pPr>
              <w:pStyle w:val="TableParagraph"/>
              <w:spacing w:line="211" w:lineRule="auto"/>
              <w:ind w:left="56" w:right="38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z w:val="19"/>
              </w:rPr>
              <w:t>Wear and tear leading to breakage</w:t>
            </w:r>
          </w:p>
        </w:tc>
        <w:tc>
          <w:tcPr>
            <w:tcW w:w="945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5415E0" w:rsidRPr="00170689" w:rsidRDefault="00711061">
            <w:pPr>
              <w:pStyle w:val="TableParagraph"/>
              <w:spacing w:before="35" w:line="211" w:lineRule="auto"/>
              <w:ind w:left="55" w:right="270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z w:val="19"/>
              </w:rPr>
              <w:t>Cuts, lacerations</w:t>
            </w:r>
          </w:p>
        </w:tc>
        <w:tc>
          <w:tcPr>
            <w:tcW w:w="1049" w:type="dxa"/>
          </w:tcPr>
          <w:p w:rsidR="005415E0" w:rsidRPr="00170689" w:rsidRDefault="00711061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5415E0" w:rsidRPr="00170689" w:rsidRDefault="00711061">
            <w:pPr>
              <w:pStyle w:val="TableParagraph"/>
              <w:spacing w:before="35" w:line="211" w:lineRule="auto"/>
              <w:ind w:left="55" w:right="565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glassware </w:t>
            </w: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storage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vessels should be periodically examined for </w:t>
            </w: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star </w:t>
            </w: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>cracks</w:t>
            </w:r>
          </w:p>
          <w:p w:rsidR="005415E0" w:rsidRPr="00170689" w:rsidRDefault="005415E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5415E0" w:rsidRPr="00170689" w:rsidRDefault="00711061">
            <w:pPr>
              <w:pStyle w:val="TableParagraph"/>
              <w:spacing w:before="1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Glassware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checked for cracks, chips, weaknesses </w:t>
            </w:r>
            <w:r w:rsidRPr="00170689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  <w:p w:rsidR="005415E0" w:rsidRPr="00170689" w:rsidRDefault="005415E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5415E0" w:rsidRPr="00170689" w:rsidRDefault="00711061">
            <w:pPr>
              <w:pStyle w:val="TableParagraph"/>
              <w:spacing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Broken </w:t>
            </w:r>
            <w:r w:rsidRPr="00170689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chipped </w:t>
            </w: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glassware </w:t>
            </w:r>
            <w:r w:rsidRPr="00170689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taken out of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service </w:t>
            </w: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disposed </w:t>
            </w: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>immediately</w:t>
            </w:r>
          </w:p>
        </w:tc>
        <w:tc>
          <w:tcPr>
            <w:tcW w:w="907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415E0" w:rsidRPr="00170689">
        <w:trPr>
          <w:trHeight w:val="1089"/>
        </w:trPr>
        <w:tc>
          <w:tcPr>
            <w:tcW w:w="1361" w:type="dxa"/>
          </w:tcPr>
          <w:p w:rsidR="005415E0" w:rsidRPr="00170689" w:rsidRDefault="00711061">
            <w:pPr>
              <w:pStyle w:val="TableParagraph"/>
              <w:spacing w:before="35" w:line="211" w:lineRule="auto"/>
              <w:ind w:left="56" w:right="402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z w:val="19"/>
              </w:rPr>
              <w:t>Unclean glassware</w:t>
            </w:r>
          </w:p>
        </w:tc>
        <w:tc>
          <w:tcPr>
            <w:tcW w:w="945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5415E0" w:rsidRPr="00170689" w:rsidRDefault="00711061">
            <w:pPr>
              <w:pStyle w:val="TableParagraph"/>
              <w:spacing w:before="35" w:line="211" w:lineRule="auto"/>
              <w:ind w:left="55" w:right="51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Exposure </w:t>
            </w: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chemicals </w:t>
            </w:r>
            <w:r w:rsidRPr="00170689">
              <w:rPr>
                <w:rFonts w:asciiTheme="minorHAnsi" w:hAnsiTheme="minorHAnsi" w:cstheme="minorHAnsi"/>
                <w:spacing w:val="-7"/>
                <w:sz w:val="19"/>
              </w:rPr>
              <w:t xml:space="preserve">from </w:t>
            </w: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>contaminated glassware</w:t>
            </w:r>
          </w:p>
        </w:tc>
        <w:tc>
          <w:tcPr>
            <w:tcW w:w="1049" w:type="dxa"/>
          </w:tcPr>
          <w:p w:rsidR="005415E0" w:rsidRPr="00170689" w:rsidRDefault="00711061">
            <w:pPr>
              <w:pStyle w:val="TableParagraph"/>
              <w:spacing w:before="11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5415E0" w:rsidRPr="00170689" w:rsidRDefault="00711061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z w:val="19"/>
              </w:rPr>
              <w:t>Glassware is cleaned thoroughly after each use</w:t>
            </w:r>
          </w:p>
          <w:p w:rsidR="005415E0" w:rsidRPr="00170689" w:rsidRDefault="005415E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6"/>
              </w:rPr>
            </w:pPr>
          </w:p>
          <w:p w:rsidR="005415E0" w:rsidRPr="00170689" w:rsidRDefault="00711061">
            <w:pPr>
              <w:pStyle w:val="TableParagraph"/>
              <w:spacing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Appropriate (chemical resistant)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gloves </w:t>
            </w: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worn </w:t>
            </w:r>
            <w:r w:rsidRPr="00170689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170689">
              <w:rPr>
                <w:rFonts w:asciiTheme="minorHAnsi" w:hAnsiTheme="minorHAnsi" w:cstheme="minorHAnsi"/>
                <w:spacing w:val="-5"/>
                <w:sz w:val="19"/>
              </w:rPr>
              <w:t xml:space="preserve">cleaning </w:t>
            </w:r>
            <w:r w:rsidRPr="00170689">
              <w:rPr>
                <w:rFonts w:asciiTheme="minorHAnsi" w:hAnsiTheme="minorHAnsi" w:cstheme="minorHAnsi"/>
                <w:spacing w:val="-6"/>
                <w:sz w:val="19"/>
              </w:rPr>
              <w:t>glassware</w:t>
            </w:r>
          </w:p>
        </w:tc>
        <w:tc>
          <w:tcPr>
            <w:tcW w:w="907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415E0" w:rsidRPr="00170689" w:rsidRDefault="005415E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415E0" w:rsidRPr="00170689" w:rsidRDefault="005415E0">
      <w:pPr>
        <w:pStyle w:val="Tekstpodstawowy"/>
        <w:spacing w:before="1"/>
        <w:rPr>
          <w:rFonts w:asciiTheme="minorHAnsi" w:hAnsiTheme="minorHAnsi" w:cstheme="minorHAnsi"/>
          <w:sz w:val="12"/>
        </w:rPr>
      </w:pPr>
    </w:p>
    <w:p w:rsidR="005415E0" w:rsidRPr="00170689" w:rsidRDefault="005415E0">
      <w:pPr>
        <w:rPr>
          <w:rFonts w:asciiTheme="minorHAnsi" w:hAnsiTheme="minorHAnsi" w:cstheme="minorHAnsi"/>
          <w:sz w:val="12"/>
        </w:rPr>
        <w:sectPr w:rsidR="005415E0" w:rsidRPr="00170689" w:rsidSect="001319B1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5415E0" w:rsidRPr="00170689" w:rsidRDefault="00711061" w:rsidP="001319B1">
      <w:pPr>
        <w:keepNext/>
        <w:keepLines/>
        <w:widowControl/>
        <w:spacing w:before="81" w:line="228" w:lineRule="exact"/>
        <w:ind w:left="103"/>
        <w:rPr>
          <w:rFonts w:asciiTheme="minorHAnsi" w:hAnsiTheme="minorHAnsi" w:cstheme="minorHAnsi"/>
          <w:sz w:val="19"/>
        </w:rPr>
      </w:pPr>
      <w:r w:rsidRPr="00170689">
        <w:rPr>
          <w:rFonts w:asciiTheme="minorHAnsi" w:hAnsiTheme="minorHAnsi" w:cstheme="minorHAnsi"/>
          <w:spacing w:val="-4"/>
          <w:sz w:val="19"/>
        </w:rPr>
        <w:t xml:space="preserve">If </w:t>
      </w:r>
      <w:r w:rsidRPr="00170689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170689">
        <w:rPr>
          <w:rFonts w:asciiTheme="minorHAnsi" w:hAnsiTheme="minorHAnsi" w:cstheme="minorHAnsi"/>
          <w:spacing w:val="-3"/>
          <w:sz w:val="19"/>
        </w:rPr>
        <w:t xml:space="preserve">is </w:t>
      </w:r>
      <w:r w:rsidRPr="00170689">
        <w:rPr>
          <w:rFonts w:asciiTheme="minorHAnsi" w:hAnsiTheme="minorHAnsi" w:cstheme="minorHAnsi"/>
          <w:spacing w:val="-4"/>
          <w:sz w:val="19"/>
        </w:rPr>
        <w:t xml:space="preserve">one </w:t>
      </w:r>
      <w:r w:rsidRPr="00170689">
        <w:rPr>
          <w:rFonts w:asciiTheme="minorHAnsi" w:hAnsiTheme="minorHAnsi" w:cstheme="minorHAnsi"/>
          <w:spacing w:val="-3"/>
          <w:sz w:val="19"/>
        </w:rPr>
        <w:t xml:space="preserve">or </w:t>
      </w:r>
      <w:r w:rsidRPr="00170689">
        <w:rPr>
          <w:rFonts w:asciiTheme="minorHAnsi" w:hAnsiTheme="minorHAnsi" w:cstheme="minorHAnsi"/>
          <w:spacing w:val="-6"/>
          <w:sz w:val="19"/>
        </w:rPr>
        <w:t xml:space="preserve">more </w:t>
      </w:r>
      <w:r w:rsidRPr="00170689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170689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170689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170689">
        <w:rPr>
          <w:rFonts w:asciiTheme="minorHAnsi" w:hAnsiTheme="minorHAnsi" w:cstheme="minorHAnsi"/>
          <w:spacing w:val="-5"/>
          <w:sz w:val="19"/>
        </w:rPr>
        <w:t xml:space="preserve">then </w:t>
      </w:r>
      <w:r w:rsidRPr="00170689">
        <w:rPr>
          <w:rFonts w:asciiTheme="minorHAnsi" w:hAnsiTheme="minorHAnsi" w:cstheme="minorHAnsi"/>
          <w:spacing w:val="-4"/>
          <w:sz w:val="19"/>
        </w:rPr>
        <w:t xml:space="preserve">the </w:t>
      </w:r>
      <w:r w:rsidRPr="00170689">
        <w:rPr>
          <w:rFonts w:asciiTheme="minorHAnsi" w:hAnsiTheme="minorHAnsi" w:cstheme="minorHAnsi"/>
          <w:spacing w:val="-5"/>
          <w:sz w:val="19"/>
        </w:rPr>
        <w:t xml:space="preserve">risk </w:t>
      </w:r>
      <w:r w:rsidRPr="00170689">
        <w:rPr>
          <w:rFonts w:asciiTheme="minorHAnsi" w:hAnsiTheme="minorHAnsi" w:cstheme="minorHAnsi"/>
          <w:spacing w:val="-4"/>
          <w:sz w:val="19"/>
        </w:rPr>
        <w:t xml:space="preserve">of </w:t>
      </w:r>
      <w:r w:rsidRPr="00170689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170689">
        <w:rPr>
          <w:rFonts w:asciiTheme="minorHAnsi" w:hAnsiTheme="minorHAnsi" w:cstheme="minorHAnsi"/>
          <w:spacing w:val="-3"/>
          <w:sz w:val="19"/>
        </w:rPr>
        <w:t xml:space="preserve">be </w:t>
      </w:r>
      <w:r w:rsidRPr="00170689">
        <w:rPr>
          <w:rFonts w:asciiTheme="minorHAnsi" w:hAnsiTheme="minorHAnsi" w:cstheme="minorHAnsi"/>
          <w:spacing w:val="-5"/>
          <w:sz w:val="19"/>
        </w:rPr>
        <w:t xml:space="preserve">high </w:t>
      </w:r>
      <w:r w:rsidRPr="00170689">
        <w:rPr>
          <w:rFonts w:asciiTheme="minorHAnsi" w:hAnsiTheme="minorHAnsi" w:cstheme="minorHAnsi"/>
          <w:spacing w:val="-4"/>
          <w:sz w:val="19"/>
        </w:rPr>
        <w:t xml:space="preserve">and </w:t>
      </w:r>
      <w:r w:rsidRPr="00170689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170689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170689">
        <w:rPr>
          <w:rFonts w:asciiTheme="minorHAnsi" w:hAnsiTheme="minorHAnsi" w:cstheme="minorHAnsi"/>
          <w:spacing w:val="-3"/>
          <w:sz w:val="19"/>
        </w:rPr>
        <w:t xml:space="preserve">be </w:t>
      </w:r>
      <w:r w:rsidRPr="00170689">
        <w:rPr>
          <w:rFonts w:asciiTheme="minorHAnsi" w:hAnsiTheme="minorHAnsi" w:cstheme="minorHAnsi"/>
          <w:spacing w:val="-6"/>
          <w:sz w:val="19"/>
        </w:rPr>
        <w:t>taken.</w:t>
      </w:r>
    </w:p>
    <w:p w:rsidR="005415E0" w:rsidRPr="00170689" w:rsidRDefault="00711061" w:rsidP="001319B1">
      <w:pPr>
        <w:keepNext/>
        <w:keepLines/>
        <w:widowControl/>
        <w:spacing w:line="228" w:lineRule="exact"/>
        <w:ind w:left="103"/>
        <w:rPr>
          <w:rFonts w:asciiTheme="minorHAnsi" w:hAnsiTheme="minorHAnsi" w:cstheme="minorHAnsi"/>
          <w:sz w:val="19"/>
        </w:rPr>
      </w:pPr>
      <w:r w:rsidRPr="00170689">
        <w:rPr>
          <w:rFonts w:asciiTheme="minorHAnsi" w:hAnsiTheme="minorHAnsi" w:cstheme="minorHAnsi"/>
          <w:b/>
          <w:spacing w:val="-6"/>
          <w:sz w:val="19"/>
        </w:rPr>
        <w:t>Medium</w:t>
      </w:r>
      <w:r w:rsidRPr="00170689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70689">
        <w:rPr>
          <w:rFonts w:asciiTheme="minorHAnsi" w:hAnsiTheme="minorHAnsi" w:cstheme="minorHAnsi"/>
          <w:b/>
          <w:spacing w:val="-5"/>
          <w:sz w:val="19"/>
        </w:rPr>
        <w:t>Risk</w:t>
      </w:r>
      <w:r w:rsidRPr="00170689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70689">
        <w:rPr>
          <w:rFonts w:asciiTheme="minorHAnsi" w:hAnsiTheme="minorHAnsi" w:cstheme="minorHAnsi"/>
          <w:b/>
          <w:spacing w:val="-5"/>
          <w:sz w:val="19"/>
        </w:rPr>
        <w:t>(M)</w:t>
      </w:r>
      <w:r w:rsidRPr="00170689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6"/>
          <w:sz w:val="19"/>
        </w:rPr>
        <w:t>actions</w:t>
      </w:r>
      <w:r w:rsidRPr="00170689">
        <w:rPr>
          <w:rFonts w:asciiTheme="minorHAnsi" w:hAnsiTheme="minorHAnsi" w:cstheme="minorHAnsi"/>
          <w:spacing w:val="-10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5"/>
          <w:sz w:val="19"/>
        </w:rPr>
        <w:t>should</w:t>
      </w:r>
      <w:r w:rsidRPr="00170689">
        <w:rPr>
          <w:rFonts w:asciiTheme="minorHAnsi" w:hAnsiTheme="minorHAnsi" w:cstheme="minorHAnsi"/>
          <w:spacing w:val="-11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3"/>
          <w:sz w:val="19"/>
        </w:rPr>
        <w:t>be</w:t>
      </w:r>
      <w:r w:rsidRPr="00170689">
        <w:rPr>
          <w:rFonts w:asciiTheme="minorHAnsi" w:hAnsiTheme="minorHAnsi" w:cstheme="minorHAnsi"/>
          <w:spacing w:val="-10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5"/>
          <w:sz w:val="19"/>
        </w:rPr>
        <w:t>dealt</w:t>
      </w:r>
      <w:r w:rsidRPr="00170689">
        <w:rPr>
          <w:rFonts w:asciiTheme="minorHAnsi" w:hAnsiTheme="minorHAnsi" w:cstheme="minorHAnsi"/>
          <w:spacing w:val="-11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5"/>
          <w:sz w:val="19"/>
        </w:rPr>
        <w:t>with</w:t>
      </w:r>
      <w:r w:rsidRPr="00170689">
        <w:rPr>
          <w:rFonts w:asciiTheme="minorHAnsi" w:hAnsiTheme="minorHAnsi" w:cstheme="minorHAnsi"/>
          <w:spacing w:val="-10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3"/>
          <w:sz w:val="19"/>
        </w:rPr>
        <w:t>as</w:t>
      </w:r>
      <w:r w:rsidRPr="00170689">
        <w:rPr>
          <w:rFonts w:asciiTheme="minorHAnsi" w:hAnsiTheme="minorHAnsi" w:cstheme="minorHAnsi"/>
          <w:spacing w:val="-11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5"/>
          <w:sz w:val="19"/>
        </w:rPr>
        <w:t>soon</w:t>
      </w:r>
      <w:r w:rsidRPr="00170689">
        <w:rPr>
          <w:rFonts w:asciiTheme="minorHAnsi" w:hAnsiTheme="minorHAnsi" w:cstheme="minorHAnsi"/>
          <w:spacing w:val="-11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3"/>
          <w:sz w:val="19"/>
        </w:rPr>
        <w:t>as</w:t>
      </w:r>
      <w:r w:rsidRPr="00170689">
        <w:rPr>
          <w:rFonts w:asciiTheme="minorHAnsi" w:hAnsiTheme="minorHAnsi" w:cstheme="minorHAnsi"/>
          <w:spacing w:val="-10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170689">
        <w:rPr>
          <w:rFonts w:asciiTheme="minorHAnsi" w:hAnsiTheme="minorHAnsi" w:cstheme="minorHAnsi"/>
          <w:spacing w:val="32"/>
          <w:sz w:val="19"/>
        </w:rPr>
        <w:t xml:space="preserve"> </w:t>
      </w:r>
      <w:r w:rsidRPr="00170689">
        <w:rPr>
          <w:rFonts w:asciiTheme="minorHAnsi" w:hAnsiTheme="minorHAnsi" w:cstheme="minorHAnsi"/>
          <w:b/>
          <w:spacing w:val="-5"/>
          <w:sz w:val="19"/>
        </w:rPr>
        <w:t>Low</w:t>
      </w:r>
      <w:r w:rsidRPr="00170689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70689">
        <w:rPr>
          <w:rFonts w:asciiTheme="minorHAnsi" w:hAnsiTheme="minorHAnsi" w:cstheme="minorHAnsi"/>
          <w:b/>
          <w:spacing w:val="-5"/>
          <w:sz w:val="19"/>
        </w:rPr>
        <w:t>Risk</w:t>
      </w:r>
      <w:r w:rsidRPr="00170689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70689">
        <w:rPr>
          <w:rFonts w:asciiTheme="minorHAnsi" w:hAnsiTheme="minorHAnsi" w:cstheme="minorHAnsi"/>
          <w:b/>
          <w:spacing w:val="-4"/>
          <w:sz w:val="19"/>
        </w:rPr>
        <w:t>(L)</w:t>
      </w:r>
      <w:r w:rsidRPr="00170689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6"/>
          <w:sz w:val="19"/>
        </w:rPr>
        <w:t>actions</w:t>
      </w:r>
      <w:r w:rsidRPr="00170689">
        <w:rPr>
          <w:rFonts w:asciiTheme="minorHAnsi" w:hAnsiTheme="minorHAnsi" w:cstheme="minorHAnsi"/>
          <w:spacing w:val="-11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5"/>
          <w:sz w:val="19"/>
        </w:rPr>
        <w:t>should</w:t>
      </w:r>
      <w:r w:rsidRPr="00170689">
        <w:rPr>
          <w:rFonts w:asciiTheme="minorHAnsi" w:hAnsiTheme="minorHAnsi" w:cstheme="minorHAnsi"/>
          <w:spacing w:val="-10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3"/>
          <w:sz w:val="19"/>
        </w:rPr>
        <w:t>be</w:t>
      </w:r>
      <w:r w:rsidRPr="00170689">
        <w:rPr>
          <w:rFonts w:asciiTheme="minorHAnsi" w:hAnsiTheme="minorHAnsi" w:cstheme="minorHAnsi"/>
          <w:spacing w:val="-11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5"/>
          <w:sz w:val="19"/>
        </w:rPr>
        <w:t>dealt</w:t>
      </w:r>
      <w:r w:rsidRPr="00170689">
        <w:rPr>
          <w:rFonts w:asciiTheme="minorHAnsi" w:hAnsiTheme="minorHAnsi" w:cstheme="minorHAnsi"/>
          <w:spacing w:val="-10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5"/>
          <w:sz w:val="19"/>
        </w:rPr>
        <w:t>with</w:t>
      </w:r>
      <w:r w:rsidRPr="00170689">
        <w:rPr>
          <w:rFonts w:asciiTheme="minorHAnsi" w:hAnsiTheme="minorHAnsi" w:cstheme="minorHAnsi"/>
          <w:spacing w:val="-11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3"/>
          <w:sz w:val="19"/>
        </w:rPr>
        <w:t>as</w:t>
      </w:r>
      <w:r w:rsidRPr="00170689">
        <w:rPr>
          <w:rFonts w:asciiTheme="minorHAnsi" w:hAnsiTheme="minorHAnsi" w:cstheme="minorHAnsi"/>
          <w:spacing w:val="-10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5"/>
          <w:sz w:val="19"/>
        </w:rPr>
        <w:t>soon</w:t>
      </w:r>
      <w:r w:rsidRPr="00170689">
        <w:rPr>
          <w:rFonts w:asciiTheme="minorHAnsi" w:hAnsiTheme="minorHAnsi" w:cstheme="minorHAnsi"/>
          <w:spacing w:val="-11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3"/>
          <w:sz w:val="19"/>
        </w:rPr>
        <w:t>as</w:t>
      </w:r>
      <w:r w:rsidRPr="00170689">
        <w:rPr>
          <w:rFonts w:asciiTheme="minorHAnsi" w:hAnsiTheme="minorHAnsi" w:cstheme="minorHAnsi"/>
          <w:spacing w:val="-10"/>
          <w:sz w:val="19"/>
        </w:rPr>
        <w:t xml:space="preserve"> </w:t>
      </w:r>
      <w:r w:rsidRPr="00170689">
        <w:rPr>
          <w:rFonts w:asciiTheme="minorHAnsi" w:hAnsiTheme="minorHAnsi" w:cstheme="minorHAnsi"/>
          <w:spacing w:val="-6"/>
          <w:sz w:val="19"/>
        </w:rPr>
        <w:t>practicable.</w:t>
      </w:r>
    </w:p>
    <w:p w:rsidR="005415E0" w:rsidRPr="00170689" w:rsidRDefault="005415E0" w:rsidP="001319B1">
      <w:pPr>
        <w:keepNext/>
        <w:keepLines/>
        <w:widowControl/>
        <w:rPr>
          <w:rFonts w:asciiTheme="minorHAnsi" w:hAnsiTheme="minorHAnsi" w:cstheme="minorHAnsi"/>
        </w:rPr>
      </w:pPr>
    </w:p>
    <w:p w:rsidR="005415E0" w:rsidRPr="00170689" w:rsidRDefault="00711061" w:rsidP="001319B1">
      <w:pPr>
        <w:pStyle w:val="Tekstpodstawowy"/>
        <w:keepNext/>
        <w:keepLines/>
        <w:widowControl/>
        <w:tabs>
          <w:tab w:val="left" w:pos="9090"/>
          <w:tab w:val="left" w:pos="9463"/>
          <w:tab w:val="left" w:pos="10283"/>
          <w:tab w:val="left" w:pos="10743"/>
        </w:tabs>
        <w:spacing w:before="192"/>
        <w:ind w:left="103"/>
        <w:rPr>
          <w:rFonts w:asciiTheme="minorHAnsi" w:hAnsiTheme="minorHAnsi" w:cstheme="minorHAnsi"/>
        </w:rPr>
      </w:pPr>
      <w:r w:rsidRPr="00170689">
        <w:rPr>
          <w:rFonts w:asciiTheme="minorHAnsi" w:hAnsiTheme="minorHAnsi" w:cstheme="minorHAnsi"/>
          <w:spacing w:val="-5"/>
        </w:rPr>
        <w:t xml:space="preserve">Risk </w:t>
      </w:r>
      <w:r w:rsidRPr="00170689">
        <w:rPr>
          <w:rFonts w:asciiTheme="minorHAnsi" w:hAnsiTheme="minorHAnsi" w:cstheme="minorHAnsi"/>
          <w:spacing w:val="-6"/>
        </w:rPr>
        <w:t>Assessment carried</w:t>
      </w:r>
      <w:r w:rsidRPr="00170689">
        <w:rPr>
          <w:rFonts w:asciiTheme="minorHAnsi" w:hAnsiTheme="minorHAnsi" w:cstheme="minorHAnsi"/>
          <w:spacing w:val="-28"/>
        </w:rPr>
        <w:t xml:space="preserve"> </w:t>
      </w:r>
      <w:r w:rsidRPr="00170689">
        <w:rPr>
          <w:rFonts w:asciiTheme="minorHAnsi" w:hAnsiTheme="minorHAnsi" w:cstheme="minorHAnsi"/>
          <w:spacing w:val="-5"/>
        </w:rPr>
        <w:t>out</w:t>
      </w:r>
      <w:r w:rsidRPr="00170689">
        <w:rPr>
          <w:rFonts w:asciiTheme="minorHAnsi" w:hAnsiTheme="minorHAnsi" w:cstheme="minorHAnsi"/>
          <w:spacing w:val="-11"/>
        </w:rPr>
        <w:t xml:space="preserve"> </w:t>
      </w:r>
      <w:r w:rsidRPr="00170689">
        <w:rPr>
          <w:rFonts w:asciiTheme="minorHAnsi" w:hAnsiTheme="minorHAnsi" w:cstheme="minorHAnsi"/>
          <w:spacing w:val="-4"/>
        </w:rPr>
        <w:t>by:</w:t>
      </w:r>
      <w:r w:rsidRPr="00170689">
        <w:rPr>
          <w:rFonts w:asciiTheme="minorHAnsi" w:hAnsiTheme="minorHAnsi" w:cstheme="minorHAnsi"/>
          <w:spacing w:val="-4"/>
          <w:u w:val="single"/>
        </w:rPr>
        <w:t xml:space="preserve"> </w:t>
      </w:r>
      <w:r w:rsidRPr="00170689">
        <w:rPr>
          <w:rFonts w:asciiTheme="minorHAnsi" w:hAnsiTheme="minorHAnsi" w:cstheme="minorHAnsi"/>
          <w:spacing w:val="-4"/>
          <w:u w:val="single"/>
        </w:rPr>
        <w:tab/>
      </w:r>
      <w:r w:rsidRPr="00170689">
        <w:rPr>
          <w:rFonts w:asciiTheme="minorHAnsi" w:hAnsiTheme="minorHAnsi" w:cstheme="minorHAnsi"/>
          <w:spacing w:val="-4"/>
        </w:rPr>
        <w:tab/>
      </w:r>
      <w:r w:rsidRPr="00170689">
        <w:rPr>
          <w:rFonts w:asciiTheme="minorHAnsi" w:hAnsiTheme="minorHAnsi" w:cstheme="minorHAnsi"/>
          <w:spacing w:val="-6"/>
        </w:rPr>
        <w:t>Date:</w:t>
      </w:r>
      <w:r w:rsidRPr="00170689">
        <w:rPr>
          <w:rFonts w:asciiTheme="minorHAnsi" w:hAnsiTheme="minorHAnsi" w:cstheme="minorHAnsi"/>
          <w:spacing w:val="-6"/>
        </w:rPr>
        <w:tab/>
      </w:r>
      <w:r w:rsidRPr="00170689">
        <w:rPr>
          <w:rFonts w:asciiTheme="minorHAnsi" w:hAnsiTheme="minorHAnsi" w:cstheme="minorHAnsi"/>
        </w:rPr>
        <w:t>/</w:t>
      </w:r>
      <w:r w:rsidRPr="00170689">
        <w:rPr>
          <w:rFonts w:asciiTheme="minorHAnsi" w:hAnsiTheme="minorHAnsi" w:cstheme="minorHAnsi"/>
        </w:rPr>
        <w:tab/>
        <w:t>/</w:t>
      </w:r>
    </w:p>
    <w:p w:rsidR="005415E0" w:rsidRPr="00170689" w:rsidRDefault="00711061" w:rsidP="001319B1">
      <w:pPr>
        <w:keepNext/>
        <w:keepLines/>
        <w:widowControl/>
        <w:spacing w:before="98"/>
        <w:ind w:left="103"/>
        <w:rPr>
          <w:rFonts w:asciiTheme="minorHAnsi" w:hAnsiTheme="minorHAnsi" w:cstheme="minorHAnsi"/>
          <w:sz w:val="14"/>
        </w:rPr>
      </w:pPr>
      <w:r w:rsidRPr="00170689">
        <w:rPr>
          <w:rFonts w:asciiTheme="minorHAnsi" w:hAnsiTheme="minorHAnsi" w:cstheme="minorHAnsi"/>
        </w:rPr>
        <w:br w:type="column"/>
      </w:r>
      <w:r w:rsidRPr="00170689">
        <w:rPr>
          <w:rFonts w:asciiTheme="minorHAnsi" w:hAnsiTheme="minorHAnsi" w:cstheme="minorHAnsi"/>
          <w:sz w:val="14"/>
        </w:rPr>
        <w:t>© All Rights Reserved</w:t>
      </w:r>
      <w:bookmarkEnd w:id="0"/>
    </w:p>
    <w:sectPr w:rsidR="005415E0" w:rsidRPr="00170689">
      <w:type w:val="continuous"/>
      <w:pgSz w:w="16840" w:h="11910" w:orient="landscape"/>
      <w:pgMar w:top="440" w:right="680" w:bottom="280" w:left="760" w:header="708" w:footer="708" w:gutter="0"/>
      <w:cols w:num="2" w:space="708" w:equalWidth="0">
        <w:col w:w="10968" w:space="2909"/>
        <w:col w:w="15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061" w:rsidRDefault="00711061" w:rsidP="001319B1">
      <w:r>
        <w:separator/>
      </w:r>
    </w:p>
  </w:endnote>
  <w:endnote w:type="continuationSeparator" w:id="0">
    <w:p w:rsidR="00711061" w:rsidRDefault="00711061" w:rsidP="0013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charset w:val="00"/>
    <w:family w:val="modern"/>
    <w:pitch w:val="variable"/>
  </w:font>
  <w:font w:name="Isidora Sans Alt Bold">
    <w:altName w:val="Calibri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061" w:rsidRDefault="00711061" w:rsidP="001319B1">
      <w:r>
        <w:separator/>
      </w:r>
    </w:p>
  </w:footnote>
  <w:footnote w:type="continuationSeparator" w:id="0">
    <w:p w:rsidR="00711061" w:rsidRDefault="00711061" w:rsidP="0013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9B1" w:rsidRPr="001319B1" w:rsidRDefault="001319B1" w:rsidP="001319B1">
    <w:pPr>
      <w:pStyle w:val="Tekstpodstawowy"/>
      <w:spacing w:after="60"/>
      <w:ind w:left="113"/>
      <w:rPr>
        <w:rFonts w:asciiTheme="minorHAnsi" w:hAnsiTheme="minorHAnsi" w:cstheme="minorHAnsi"/>
      </w:rPr>
    </w:pPr>
    <w:r w:rsidRPr="001319B1">
      <w:rPr>
        <w:rFonts w:asciiTheme="minorHAnsi" w:hAnsiTheme="minorHAnsi" w:cstheme="minorHAnsi"/>
        <w:color w:val="EE7625"/>
      </w:rPr>
      <w:t xml:space="preserve">Science (Glassware) – Risk Assessment Template No.51 </w:t>
    </w:r>
    <w:r w:rsidRPr="001319B1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E0"/>
    <w:rsid w:val="001319B1"/>
    <w:rsid w:val="00170689"/>
    <w:rsid w:val="005415E0"/>
    <w:rsid w:val="0071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89077"/>
  <w15:docId w15:val="{A89852A6-7C50-45F6-8856-5713E28B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319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9B1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1319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9B1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4</cp:revision>
  <dcterms:created xsi:type="dcterms:W3CDTF">2019-03-06T12:44:00Z</dcterms:created>
  <dcterms:modified xsi:type="dcterms:W3CDTF">2019-03-06T12:44:00Z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