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908" w:rsidRPr="00867B83" w:rsidRDefault="008B0908">
      <w:pPr>
        <w:pStyle w:val="Tekstpodstawowy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48"/>
        <w:gridCol w:w="4393"/>
        <w:gridCol w:w="906"/>
        <w:gridCol w:w="2550"/>
        <w:gridCol w:w="1416"/>
        <w:gridCol w:w="1416"/>
      </w:tblGrid>
      <w:tr w:rsidR="008B0908" w:rsidRPr="00867B83" w:rsidTr="00867B83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B0908" w:rsidRPr="00867B83" w:rsidRDefault="007869AC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8B0908" w:rsidRPr="00867B83" w:rsidRDefault="007869AC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B0908" w:rsidRPr="00867B83" w:rsidRDefault="007869AC">
            <w:pPr>
              <w:pStyle w:val="TableParagraph"/>
              <w:spacing w:before="8" w:line="249" w:lineRule="auto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67B83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67B83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9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before="3" w:line="220" w:lineRule="auto"/>
              <w:ind w:left="63" w:right="95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8B0908" w:rsidRPr="00867B83" w:rsidRDefault="007869AC">
            <w:pPr>
              <w:pStyle w:val="TableParagraph"/>
              <w:spacing w:before="182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before="29" w:line="189" w:lineRule="auto"/>
              <w:ind w:left="64" w:right="101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67B83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before="3" w:line="220" w:lineRule="auto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B0908" w:rsidRPr="00867B83" w:rsidRDefault="007869AC">
            <w:pPr>
              <w:pStyle w:val="TableParagraph"/>
              <w:spacing w:before="3" w:line="220" w:lineRule="auto"/>
              <w:ind w:left="67"/>
              <w:rPr>
                <w:rFonts w:asciiTheme="minorHAnsi" w:hAnsiTheme="minorHAnsi" w:cstheme="minorHAnsi"/>
                <w:b/>
                <w:sz w:val="19"/>
              </w:rPr>
            </w:pPr>
            <w:r w:rsidRPr="00867B83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B0908" w:rsidRPr="00867B83">
        <w:trPr>
          <w:trHeight w:val="889"/>
        </w:trPr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4" w:line="211" w:lineRule="auto"/>
              <w:ind w:left="56" w:right="27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Contact with chemical agents</w:t>
            </w:r>
          </w:p>
        </w:tc>
        <w:tc>
          <w:tcPr>
            <w:tcW w:w="907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4" w:line="211" w:lineRule="auto"/>
              <w:ind w:left="57" w:right="46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Harm to the unborn child or breastfed babies</w:t>
            </w:r>
          </w:p>
        </w:tc>
        <w:tc>
          <w:tcPr>
            <w:tcW w:w="1048" w:type="dxa"/>
          </w:tcPr>
          <w:p w:rsidR="008B0908" w:rsidRPr="00867B83" w:rsidRDefault="007869AC">
            <w:pPr>
              <w:pStyle w:val="TableParagraph"/>
              <w:spacing w:before="10"/>
              <w:ind w:right="444"/>
              <w:jc w:val="right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93" w:type="dxa"/>
          </w:tcPr>
          <w:p w:rsidR="008B0908" w:rsidRPr="00867B83" w:rsidRDefault="007869AC">
            <w:pPr>
              <w:pStyle w:val="TableParagraph"/>
              <w:spacing w:before="34" w:line="211" w:lineRule="auto"/>
              <w:ind w:left="57" w:right="166"/>
              <w:jc w:val="both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Pregnant, post-natal,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breastfeeding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women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exposed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chemical substances labelled: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R40,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R45,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R61,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R63 and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R64, particularly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where exposure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above </w:t>
            </w:r>
            <w:r w:rsidRPr="00867B83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level which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might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cause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>harm</w:t>
            </w:r>
          </w:p>
        </w:tc>
        <w:tc>
          <w:tcPr>
            <w:tcW w:w="90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B0908" w:rsidRPr="00867B83">
        <w:trPr>
          <w:trHeight w:val="889"/>
        </w:trPr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4" w:line="211" w:lineRule="auto"/>
              <w:ind w:left="56" w:right="27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Contact with biological agents</w:t>
            </w:r>
          </w:p>
        </w:tc>
        <w:tc>
          <w:tcPr>
            <w:tcW w:w="907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Infection</w:t>
            </w:r>
          </w:p>
        </w:tc>
        <w:tc>
          <w:tcPr>
            <w:tcW w:w="1048" w:type="dxa"/>
          </w:tcPr>
          <w:p w:rsidR="008B0908" w:rsidRPr="00867B83" w:rsidRDefault="007869AC">
            <w:pPr>
              <w:pStyle w:val="TableParagraph"/>
              <w:spacing w:before="10"/>
              <w:ind w:right="444"/>
              <w:jc w:val="right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93" w:type="dxa"/>
          </w:tcPr>
          <w:p w:rsidR="008B0908" w:rsidRPr="00867B83" w:rsidRDefault="007869AC">
            <w:pPr>
              <w:pStyle w:val="TableParagraph"/>
              <w:spacing w:before="34" w:line="211" w:lineRule="auto"/>
              <w:ind w:left="57" w:right="38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67B83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risk of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67B83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highly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infectious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agent,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pregnant, post-natal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breastfeeding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women must avoid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exposure (Agents are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listed in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Biological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Agents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Regulations 1994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>1998)</w:t>
            </w:r>
          </w:p>
        </w:tc>
        <w:tc>
          <w:tcPr>
            <w:tcW w:w="90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B0908" w:rsidRPr="00867B83">
        <w:trPr>
          <w:trHeight w:val="2089"/>
        </w:trPr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5"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Long </w:t>
            </w:r>
            <w:r w:rsidRPr="00867B83">
              <w:rPr>
                <w:rFonts w:asciiTheme="minorHAnsi" w:hAnsiTheme="minorHAnsi" w:cstheme="minorHAnsi"/>
                <w:spacing w:val="-7"/>
                <w:sz w:val="19"/>
              </w:rPr>
              <w:t xml:space="preserve">periods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standing, movement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postures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abrupt or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severe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give rise to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>excessive fatigue</w:t>
            </w:r>
          </w:p>
        </w:tc>
        <w:tc>
          <w:tcPr>
            <w:tcW w:w="907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5" w:line="211" w:lineRule="auto"/>
              <w:ind w:left="57" w:right="415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Varicose veins</w:t>
            </w:r>
          </w:p>
          <w:p w:rsidR="008B0908" w:rsidRPr="00867B83" w:rsidRDefault="008B0908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8B0908" w:rsidRPr="00867B83" w:rsidRDefault="007869AC">
            <w:pPr>
              <w:pStyle w:val="TableParagraph"/>
              <w:spacing w:line="211" w:lineRule="auto"/>
              <w:ind w:left="57" w:right="106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Fatigue (mental and physical)</w:t>
            </w:r>
          </w:p>
        </w:tc>
        <w:tc>
          <w:tcPr>
            <w:tcW w:w="1048" w:type="dxa"/>
          </w:tcPr>
          <w:p w:rsidR="008B0908" w:rsidRPr="00867B83" w:rsidRDefault="007869AC">
            <w:pPr>
              <w:pStyle w:val="TableParagraph"/>
              <w:spacing w:before="11"/>
              <w:ind w:right="434"/>
              <w:jc w:val="right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93" w:type="dxa"/>
          </w:tcPr>
          <w:p w:rsidR="008B0908" w:rsidRPr="00867B83" w:rsidRDefault="007869AC">
            <w:pPr>
              <w:pStyle w:val="TableParagraph"/>
              <w:spacing w:before="35" w:line="211" w:lineRule="auto"/>
              <w:ind w:left="57" w:right="38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Pregnant, post-natal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breastfeeding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women should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provision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to sit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>whilst completing work activities</w:t>
            </w:r>
          </w:p>
          <w:p w:rsidR="008B0908" w:rsidRPr="00867B83" w:rsidRDefault="008B090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B0908" w:rsidRPr="00867B83" w:rsidRDefault="007869AC">
            <w:pPr>
              <w:pStyle w:val="TableParagraph"/>
              <w:spacing w:before="1" w:line="211" w:lineRule="auto"/>
              <w:ind w:left="57" w:right="151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facilities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rest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appropriate conditions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>ensured</w:t>
            </w:r>
          </w:p>
        </w:tc>
        <w:tc>
          <w:tcPr>
            <w:tcW w:w="90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B0908" w:rsidRPr="00867B83">
        <w:trPr>
          <w:trHeight w:val="1289"/>
        </w:trPr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6" w:line="211" w:lineRule="auto"/>
              <w:ind w:left="56" w:right="27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Pushing/ pulling/ carrying heavy or awkward items</w:t>
            </w:r>
          </w:p>
        </w:tc>
        <w:tc>
          <w:tcPr>
            <w:tcW w:w="907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8B0908" w:rsidRPr="00867B83" w:rsidRDefault="007869AC">
            <w:pPr>
              <w:pStyle w:val="TableParagraph"/>
              <w:spacing w:before="36" w:line="211" w:lineRule="auto"/>
              <w:ind w:left="57" w:right="27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z w:val="19"/>
              </w:rPr>
              <w:t>Manual handling induced injury</w:t>
            </w:r>
          </w:p>
        </w:tc>
        <w:tc>
          <w:tcPr>
            <w:tcW w:w="1048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3" w:type="dxa"/>
          </w:tcPr>
          <w:p w:rsidR="008B0908" w:rsidRPr="00867B83" w:rsidRDefault="007869AC">
            <w:pPr>
              <w:pStyle w:val="TableParagraph"/>
              <w:spacing w:before="36" w:line="211" w:lineRule="auto"/>
              <w:ind w:left="57" w:right="65"/>
              <w:rPr>
                <w:rFonts w:asciiTheme="minorHAnsi" w:hAnsiTheme="minorHAnsi" w:cstheme="minorHAnsi"/>
                <w:sz w:val="19"/>
              </w:rPr>
            </w:pP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Pregnant, post-natal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breastfeeding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women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 xml:space="preserve">required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to lift, push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4"/>
                <w:sz w:val="19"/>
              </w:rPr>
              <w:t xml:space="preserve">pull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awkward </w:t>
            </w:r>
            <w:r w:rsidRPr="00867B83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67B83">
              <w:rPr>
                <w:rFonts w:asciiTheme="minorHAnsi" w:hAnsiTheme="minorHAnsi" w:cstheme="minorHAnsi"/>
                <w:spacing w:val="-5"/>
                <w:sz w:val="19"/>
              </w:rPr>
              <w:t xml:space="preserve">heavy </w:t>
            </w:r>
            <w:r w:rsidRPr="00867B83">
              <w:rPr>
                <w:rFonts w:asciiTheme="minorHAnsi" w:hAnsiTheme="minorHAnsi" w:cstheme="minorHAnsi"/>
                <w:spacing w:val="-6"/>
                <w:sz w:val="19"/>
              </w:rPr>
              <w:t>items.</w:t>
            </w:r>
          </w:p>
          <w:p w:rsidR="008B0908" w:rsidRPr="00867B83" w:rsidRDefault="00D4116A">
            <w:pPr>
              <w:pStyle w:val="TableParagraph"/>
              <w:spacing w:before="175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7869AC" w:rsidRPr="00867B83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Manual Handling - Template No. 13</w:t>
              </w:r>
            </w:hyperlink>
            <w:bookmarkStart w:id="0" w:name="_GoBack"/>
            <w:bookmarkEnd w:id="0"/>
          </w:p>
        </w:tc>
        <w:tc>
          <w:tcPr>
            <w:tcW w:w="90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0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6" w:type="dxa"/>
          </w:tcPr>
          <w:p w:rsidR="008B0908" w:rsidRPr="00867B83" w:rsidRDefault="008B09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B0908" w:rsidRPr="00867B83" w:rsidRDefault="008B0908">
      <w:pPr>
        <w:pStyle w:val="Tekstpodstawowy"/>
        <w:spacing w:before="9"/>
        <w:rPr>
          <w:rFonts w:asciiTheme="minorHAnsi" w:hAnsiTheme="minorHAnsi" w:cstheme="minorHAnsi"/>
          <w:sz w:val="12"/>
        </w:rPr>
      </w:pPr>
    </w:p>
    <w:p w:rsidR="008B0908" w:rsidRPr="00867B83" w:rsidRDefault="008B0908">
      <w:pPr>
        <w:rPr>
          <w:rFonts w:asciiTheme="minorHAnsi" w:hAnsiTheme="minorHAnsi" w:cstheme="minorHAnsi"/>
          <w:sz w:val="12"/>
        </w:rPr>
        <w:sectPr w:rsidR="008B0908" w:rsidRPr="00867B83" w:rsidSect="00867B83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8B0908" w:rsidRPr="00867B83" w:rsidRDefault="007869AC" w:rsidP="00867B83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867B83">
        <w:rPr>
          <w:rFonts w:asciiTheme="minorHAnsi" w:hAnsiTheme="minorHAnsi" w:cstheme="minorHAnsi"/>
          <w:spacing w:val="-4"/>
          <w:sz w:val="19"/>
        </w:rPr>
        <w:t xml:space="preserve">If </w:t>
      </w:r>
      <w:r w:rsidRPr="00867B83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867B83">
        <w:rPr>
          <w:rFonts w:asciiTheme="minorHAnsi" w:hAnsiTheme="minorHAnsi" w:cstheme="minorHAnsi"/>
          <w:spacing w:val="-3"/>
          <w:sz w:val="19"/>
        </w:rPr>
        <w:t xml:space="preserve">is </w:t>
      </w:r>
      <w:r w:rsidRPr="00867B83">
        <w:rPr>
          <w:rFonts w:asciiTheme="minorHAnsi" w:hAnsiTheme="minorHAnsi" w:cstheme="minorHAnsi"/>
          <w:spacing w:val="-4"/>
          <w:sz w:val="19"/>
        </w:rPr>
        <w:t xml:space="preserve">one </w:t>
      </w:r>
      <w:r w:rsidRPr="00867B83">
        <w:rPr>
          <w:rFonts w:asciiTheme="minorHAnsi" w:hAnsiTheme="minorHAnsi" w:cstheme="minorHAnsi"/>
          <w:spacing w:val="-3"/>
          <w:sz w:val="19"/>
        </w:rPr>
        <w:t xml:space="preserve">or </w:t>
      </w:r>
      <w:r w:rsidRPr="00867B83">
        <w:rPr>
          <w:rFonts w:asciiTheme="minorHAnsi" w:hAnsiTheme="minorHAnsi" w:cstheme="minorHAnsi"/>
          <w:spacing w:val="-6"/>
          <w:sz w:val="19"/>
        </w:rPr>
        <w:t xml:space="preserve">more </w:t>
      </w:r>
      <w:r w:rsidRPr="00867B83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867B83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867B83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867B83">
        <w:rPr>
          <w:rFonts w:asciiTheme="minorHAnsi" w:hAnsiTheme="minorHAnsi" w:cstheme="minorHAnsi"/>
          <w:spacing w:val="-5"/>
          <w:sz w:val="19"/>
        </w:rPr>
        <w:t xml:space="preserve">then </w:t>
      </w:r>
      <w:r w:rsidRPr="00867B83">
        <w:rPr>
          <w:rFonts w:asciiTheme="minorHAnsi" w:hAnsiTheme="minorHAnsi" w:cstheme="minorHAnsi"/>
          <w:spacing w:val="-4"/>
          <w:sz w:val="19"/>
        </w:rPr>
        <w:t xml:space="preserve">the </w:t>
      </w:r>
      <w:r w:rsidRPr="00867B83">
        <w:rPr>
          <w:rFonts w:asciiTheme="minorHAnsi" w:hAnsiTheme="minorHAnsi" w:cstheme="minorHAnsi"/>
          <w:spacing w:val="-5"/>
          <w:sz w:val="19"/>
        </w:rPr>
        <w:t xml:space="preserve">risk </w:t>
      </w:r>
      <w:r w:rsidRPr="00867B83">
        <w:rPr>
          <w:rFonts w:asciiTheme="minorHAnsi" w:hAnsiTheme="minorHAnsi" w:cstheme="minorHAnsi"/>
          <w:spacing w:val="-4"/>
          <w:sz w:val="19"/>
        </w:rPr>
        <w:t xml:space="preserve">of </w:t>
      </w:r>
      <w:r w:rsidRPr="00867B83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867B83">
        <w:rPr>
          <w:rFonts w:asciiTheme="minorHAnsi" w:hAnsiTheme="minorHAnsi" w:cstheme="minorHAnsi"/>
          <w:spacing w:val="-3"/>
          <w:sz w:val="19"/>
        </w:rPr>
        <w:t xml:space="preserve">be </w:t>
      </w:r>
      <w:r w:rsidRPr="00867B83">
        <w:rPr>
          <w:rFonts w:asciiTheme="minorHAnsi" w:hAnsiTheme="minorHAnsi" w:cstheme="minorHAnsi"/>
          <w:spacing w:val="-5"/>
          <w:sz w:val="19"/>
        </w:rPr>
        <w:t xml:space="preserve">high </w:t>
      </w:r>
      <w:r w:rsidRPr="00867B83">
        <w:rPr>
          <w:rFonts w:asciiTheme="minorHAnsi" w:hAnsiTheme="minorHAnsi" w:cstheme="minorHAnsi"/>
          <w:spacing w:val="-4"/>
          <w:sz w:val="19"/>
        </w:rPr>
        <w:t xml:space="preserve">and </w:t>
      </w:r>
      <w:r w:rsidRPr="00867B83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867B83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867B83">
        <w:rPr>
          <w:rFonts w:asciiTheme="minorHAnsi" w:hAnsiTheme="minorHAnsi" w:cstheme="minorHAnsi"/>
          <w:spacing w:val="-3"/>
          <w:sz w:val="19"/>
        </w:rPr>
        <w:t xml:space="preserve">be </w:t>
      </w:r>
      <w:r w:rsidRPr="00867B83">
        <w:rPr>
          <w:rFonts w:asciiTheme="minorHAnsi" w:hAnsiTheme="minorHAnsi" w:cstheme="minorHAnsi"/>
          <w:spacing w:val="-6"/>
          <w:sz w:val="19"/>
        </w:rPr>
        <w:t>taken.</w:t>
      </w:r>
    </w:p>
    <w:p w:rsidR="008B0908" w:rsidRPr="00867B83" w:rsidRDefault="007869AC" w:rsidP="00867B83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867B83">
        <w:rPr>
          <w:rFonts w:asciiTheme="minorHAnsi" w:hAnsiTheme="minorHAnsi" w:cstheme="minorHAnsi"/>
          <w:b/>
          <w:spacing w:val="-6"/>
          <w:sz w:val="19"/>
        </w:rPr>
        <w:t>Medium</w:t>
      </w:r>
      <w:r w:rsidRPr="00867B8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b/>
          <w:spacing w:val="-5"/>
          <w:sz w:val="19"/>
        </w:rPr>
        <w:t>Risk</w:t>
      </w:r>
      <w:r w:rsidRPr="00867B8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b/>
          <w:spacing w:val="-5"/>
          <w:sz w:val="19"/>
        </w:rPr>
        <w:t>(M)</w:t>
      </w:r>
      <w:r w:rsidRPr="00867B83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6"/>
          <w:sz w:val="19"/>
        </w:rPr>
        <w:t>actions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should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3"/>
          <w:sz w:val="19"/>
        </w:rPr>
        <w:t>be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dealt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with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3"/>
          <w:sz w:val="19"/>
        </w:rPr>
        <w:t>as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soon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3"/>
          <w:sz w:val="19"/>
        </w:rPr>
        <w:t>as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867B83">
        <w:rPr>
          <w:rFonts w:asciiTheme="minorHAnsi" w:hAnsiTheme="minorHAnsi" w:cstheme="minorHAnsi"/>
          <w:spacing w:val="32"/>
          <w:sz w:val="19"/>
        </w:rPr>
        <w:t xml:space="preserve"> </w:t>
      </w:r>
      <w:r w:rsidRPr="00867B83">
        <w:rPr>
          <w:rFonts w:asciiTheme="minorHAnsi" w:hAnsiTheme="minorHAnsi" w:cstheme="minorHAnsi"/>
          <w:b/>
          <w:spacing w:val="-5"/>
          <w:sz w:val="19"/>
        </w:rPr>
        <w:t>Low</w:t>
      </w:r>
      <w:r w:rsidRPr="00867B8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b/>
          <w:spacing w:val="-5"/>
          <w:sz w:val="19"/>
        </w:rPr>
        <w:t>Risk</w:t>
      </w:r>
      <w:r w:rsidRPr="00867B83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b/>
          <w:spacing w:val="-4"/>
          <w:sz w:val="19"/>
        </w:rPr>
        <w:t>(L)</w:t>
      </w:r>
      <w:r w:rsidRPr="00867B83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6"/>
          <w:sz w:val="19"/>
        </w:rPr>
        <w:t>actions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should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3"/>
          <w:sz w:val="19"/>
        </w:rPr>
        <w:t>be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dealt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with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3"/>
          <w:sz w:val="19"/>
        </w:rPr>
        <w:t>as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5"/>
          <w:sz w:val="19"/>
        </w:rPr>
        <w:t>soon</w:t>
      </w:r>
      <w:r w:rsidRPr="00867B83">
        <w:rPr>
          <w:rFonts w:asciiTheme="minorHAnsi" w:hAnsiTheme="minorHAnsi" w:cstheme="minorHAnsi"/>
          <w:spacing w:val="-11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3"/>
          <w:sz w:val="19"/>
        </w:rPr>
        <w:t>as</w:t>
      </w:r>
      <w:r w:rsidRPr="00867B83">
        <w:rPr>
          <w:rFonts w:asciiTheme="minorHAnsi" w:hAnsiTheme="minorHAnsi" w:cstheme="minorHAnsi"/>
          <w:spacing w:val="-10"/>
          <w:sz w:val="19"/>
        </w:rPr>
        <w:t xml:space="preserve"> </w:t>
      </w:r>
      <w:r w:rsidRPr="00867B83">
        <w:rPr>
          <w:rFonts w:asciiTheme="minorHAnsi" w:hAnsiTheme="minorHAnsi" w:cstheme="minorHAnsi"/>
          <w:spacing w:val="-6"/>
          <w:sz w:val="19"/>
        </w:rPr>
        <w:t>practicable.</w:t>
      </w:r>
    </w:p>
    <w:p w:rsidR="008B0908" w:rsidRPr="00867B83" w:rsidRDefault="008B0908" w:rsidP="00867B83">
      <w:pPr>
        <w:keepNext/>
        <w:keepLines/>
        <w:widowControl/>
        <w:rPr>
          <w:rFonts w:asciiTheme="minorHAnsi" w:hAnsiTheme="minorHAnsi" w:cstheme="minorHAnsi"/>
        </w:rPr>
      </w:pPr>
    </w:p>
    <w:p w:rsidR="008B0908" w:rsidRPr="00867B83" w:rsidRDefault="007869AC" w:rsidP="00867B83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867B83">
        <w:rPr>
          <w:rFonts w:asciiTheme="minorHAnsi" w:hAnsiTheme="minorHAnsi" w:cstheme="minorHAnsi"/>
          <w:spacing w:val="-5"/>
        </w:rPr>
        <w:t xml:space="preserve">Risk </w:t>
      </w:r>
      <w:r w:rsidRPr="00867B83">
        <w:rPr>
          <w:rFonts w:asciiTheme="minorHAnsi" w:hAnsiTheme="minorHAnsi" w:cstheme="minorHAnsi"/>
          <w:spacing w:val="-6"/>
        </w:rPr>
        <w:t>Assessment carried</w:t>
      </w:r>
      <w:r w:rsidRPr="00867B83">
        <w:rPr>
          <w:rFonts w:asciiTheme="minorHAnsi" w:hAnsiTheme="minorHAnsi" w:cstheme="minorHAnsi"/>
          <w:spacing w:val="-28"/>
        </w:rPr>
        <w:t xml:space="preserve"> </w:t>
      </w:r>
      <w:r w:rsidRPr="00867B83">
        <w:rPr>
          <w:rFonts w:asciiTheme="minorHAnsi" w:hAnsiTheme="minorHAnsi" w:cstheme="minorHAnsi"/>
          <w:spacing w:val="-5"/>
        </w:rPr>
        <w:t>out</w:t>
      </w:r>
      <w:r w:rsidRPr="00867B83">
        <w:rPr>
          <w:rFonts w:asciiTheme="minorHAnsi" w:hAnsiTheme="minorHAnsi" w:cstheme="minorHAnsi"/>
          <w:spacing w:val="-11"/>
        </w:rPr>
        <w:t xml:space="preserve"> </w:t>
      </w:r>
      <w:r w:rsidRPr="00867B83">
        <w:rPr>
          <w:rFonts w:asciiTheme="minorHAnsi" w:hAnsiTheme="minorHAnsi" w:cstheme="minorHAnsi"/>
          <w:spacing w:val="-4"/>
        </w:rPr>
        <w:t>by:</w:t>
      </w:r>
      <w:r w:rsidRPr="00867B83">
        <w:rPr>
          <w:rFonts w:asciiTheme="minorHAnsi" w:hAnsiTheme="minorHAnsi" w:cstheme="minorHAnsi"/>
          <w:spacing w:val="-4"/>
          <w:u w:val="single"/>
        </w:rPr>
        <w:t xml:space="preserve"> </w:t>
      </w:r>
      <w:r w:rsidRPr="00867B83">
        <w:rPr>
          <w:rFonts w:asciiTheme="minorHAnsi" w:hAnsiTheme="minorHAnsi" w:cstheme="minorHAnsi"/>
          <w:spacing w:val="-4"/>
          <w:u w:val="single"/>
        </w:rPr>
        <w:tab/>
      </w:r>
      <w:r w:rsidRPr="00867B83">
        <w:rPr>
          <w:rFonts w:asciiTheme="minorHAnsi" w:hAnsiTheme="minorHAnsi" w:cstheme="minorHAnsi"/>
          <w:spacing w:val="-4"/>
        </w:rPr>
        <w:tab/>
      </w:r>
      <w:r w:rsidRPr="00867B83">
        <w:rPr>
          <w:rFonts w:asciiTheme="minorHAnsi" w:hAnsiTheme="minorHAnsi" w:cstheme="minorHAnsi"/>
          <w:spacing w:val="-6"/>
        </w:rPr>
        <w:t>Date:</w:t>
      </w:r>
      <w:r w:rsidRPr="00867B83">
        <w:rPr>
          <w:rFonts w:asciiTheme="minorHAnsi" w:hAnsiTheme="minorHAnsi" w:cstheme="minorHAnsi"/>
          <w:spacing w:val="-6"/>
        </w:rPr>
        <w:tab/>
      </w:r>
      <w:r w:rsidRPr="00867B83">
        <w:rPr>
          <w:rFonts w:asciiTheme="minorHAnsi" w:hAnsiTheme="minorHAnsi" w:cstheme="minorHAnsi"/>
        </w:rPr>
        <w:t>/</w:t>
      </w:r>
      <w:r w:rsidRPr="00867B83">
        <w:rPr>
          <w:rFonts w:asciiTheme="minorHAnsi" w:hAnsiTheme="minorHAnsi" w:cstheme="minorHAnsi"/>
        </w:rPr>
        <w:tab/>
        <w:t>/</w:t>
      </w:r>
    </w:p>
    <w:p w:rsidR="008B0908" w:rsidRPr="00867B83" w:rsidRDefault="007869AC">
      <w:pPr>
        <w:spacing w:before="96"/>
        <w:ind w:left="104"/>
        <w:rPr>
          <w:rFonts w:asciiTheme="minorHAnsi" w:hAnsiTheme="minorHAnsi" w:cstheme="minorHAnsi"/>
          <w:sz w:val="14"/>
        </w:rPr>
      </w:pPr>
      <w:r w:rsidRPr="00867B83">
        <w:rPr>
          <w:rFonts w:asciiTheme="minorHAnsi" w:hAnsiTheme="minorHAnsi" w:cstheme="minorHAnsi"/>
        </w:rPr>
        <w:br w:type="column"/>
      </w:r>
      <w:r w:rsidRPr="00867B83">
        <w:rPr>
          <w:rFonts w:asciiTheme="minorHAnsi" w:hAnsiTheme="minorHAnsi" w:cstheme="minorHAnsi"/>
          <w:sz w:val="14"/>
        </w:rPr>
        <w:t>© All Rights Reserved</w:t>
      </w:r>
    </w:p>
    <w:sectPr w:rsidR="008B0908" w:rsidRPr="00867B83">
      <w:type w:val="continuous"/>
      <w:pgSz w:w="16840" w:h="11910" w:orient="landscape"/>
      <w:pgMar w:top="560" w:right="700" w:bottom="280" w:left="760" w:header="708" w:footer="708" w:gutter="0"/>
      <w:cols w:num="2" w:space="708" w:equalWidth="0">
        <w:col w:w="10968" w:space="2907"/>
        <w:col w:w="1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16A" w:rsidRDefault="00D4116A" w:rsidP="00867B83">
      <w:r>
        <w:separator/>
      </w:r>
    </w:p>
  </w:endnote>
  <w:endnote w:type="continuationSeparator" w:id="0">
    <w:p w:rsidR="00D4116A" w:rsidRDefault="00D4116A" w:rsidP="0086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16A" w:rsidRDefault="00D4116A" w:rsidP="00867B83">
      <w:r>
        <w:separator/>
      </w:r>
    </w:p>
  </w:footnote>
  <w:footnote w:type="continuationSeparator" w:id="0">
    <w:p w:rsidR="00D4116A" w:rsidRDefault="00D4116A" w:rsidP="0086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B83" w:rsidRPr="00867B83" w:rsidRDefault="00867B83" w:rsidP="00867B83">
    <w:pPr>
      <w:pStyle w:val="Tekstpodstawowy"/>
      <w:spacing w:before="65"/>
      <w:ind w:left="103" w:right="696"/>
      <w:rPr>
        <w:rFonts w:asciiTheme="minorHAnsi" w:hAnsiTheme="minorHAnsi" w:cstheme="minorHAnsi"/>
      </w:rPr>
    </w:pPr>
    <w:r w:rsidRPr="00867B83">
      <w:rPr>
        <w:rFonts w:asciiTheme="minorHAnsi" w:hAnsiTheme="minorHAnsi" w:cstheme="minorHAnsi"/>
        <w:color w:val="EE7625"/>
      </w:rPr>
      <w:t xml:space="preserve">Pregnant, Post-Natal and Breastfeeding Women - Risk Assessment Template No. 27 </w:t>
    </w:r>
    <w:r w:rsidRPr="00867B83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08"/>
    <w:rsid w:val="000754A5"/>
    <w:rsid w:val="007869AC"/>
    <w:rsid w:val="00867B83"/>
    <w:rsid w:val="008B0908"/>
    <w:rsid w:val="00D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9B12D-1D45-42B9-9F2F-B4BE221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67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B83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867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B83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manual-handling-no-1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3</cp:revision>
  <dcterms:created xsi:type="dcterms:W3CDTF">2019-03-06T12:24:00Z</dcterms:created>
  <dcterms:modified xsi:type="dcterms:W3CDTF">2019-04-01T15:58:00Z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