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7098E" w14:textId="0EFFFDD3" w:rsidR="0034555A" w:rsidRPr="00946888" w:rsidRDefault="00F4031B" w:rsidP="009468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46888">
        <w:rPr>
          <w:b/>
          <w:sz w:val="24"/>
          <w:szCs w:val="24"/>
        </w:rPr>
        <w:t>Pub</w:t>
      </w:r>
      <w:r w:rsidR="005A6247">
        <w:rPr>
          <w:b/>
          <w:sz w:val="24"/>
          <w:szCs w:val="24"/>
        </w:rPr>
        <w:t xml:space="preserve">lic Administration and Defence </w:t>
      </w:r>
      <w:r w:rsidR="0034555A" w:rsidRPr="00946888">
        <w:rPr>
          <w:b/>
          <w:sz w:val="24"/>
          <w:szCs w:val="24"/>
        </w:rPr>
        <w:t>(NACE O)</w:t>
      </w:r>
      <w:r w:rsidR="00AB5603">
        <w:rPr>
          <w:b/>
          <w:sz w:val="24"/>
          <w:szCs w:val="24"/>
        </w:rPr>
        <w:t>*</w:t>
      </w:r>
    </w:p>
    <w:p w14:paraId="60B3438A" w14:textId="273214A1" w:rsidR="0034555A" w:rsidRPr="00946888" w:rsidRDefault="004F445F" w:rsidP="00946888">
      <w:pPr>
        <w:jc w:val="center"/>
        <w:rPr>
          <w:b/>
          <w:sz w:val="24"/>
          <w:szCs w:val="24"/>
        </w:rPr>
      </w:pPr>
      <w:r w:rsidRPr="00946888">
        <w:rPr>
          <w:b/>
          <w:sz w:val="24"/>
          <w:szCs w:val="24"/>
        </w:rPr>
        <w:t>Il</w:t>
      </w:r>
      <w:r w:rsidR="0012141D" w:rsidRPr="00946888">
        <w:rPr>
          <w:b/>
          <w:sz w:val="24"/>
          <w:szCs w:val="24"/>
        </w:rPr>
        <w:t>lness and Injury Statistics 201</w:t>
      </w:r>
      <w:r w:rsidR="008216AF">
        <w:rPr>
          <w:b/>
          <w:sz w:val="24"/>
          <w:szCs w:val="24"/>
        </w:rPr>
        <w:t>5</w:t>
      </w:r>
    </w:p>
    <w:p w14:paraId="05FDAF6B" w14:textId="1FA7EB7B" w:rsidR="00DB4F42" w:rsidRPr="00296EE7" w:rsidRDefault="005A6247" w:rsidP="00DB4F4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0B29E8">
        <w:rPr>
          <w:sz w:val="24"/>
          <w:szCs w:val="24"/>
        </w:rPr>
        <w:t>ublic administration</w:t>
      </w:r>
      <w:r>
        <w:rPr>
          <w:sz w:val="24"/>
          <w:szCs w:val="24"/>
        </w:rPr>
        <w:t xml:space="preserve"> and Defence</w:t>
      </w:r>
      <w:r w:rsidR="000B29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(NACE O) </w:t>
      </w:r>
      <w:r w:rsidR="00DB4F42" w:rsidRPr="00296EE7">
        <w:rPr>
          <w:sz w:val="24"/>
          <w:szCs w:val="24"/>
        </w:rPr>
        <w:t xml:space="preserve">accounted for </w:t>
      </w:r>
      <w:r w:rsidR="00F4031B">
        <w:rPr>
          <w:sz w:val="24"/>
          <w:szCs w:val="24"/>
        </w:rPr>
        <w:t>11.</w:t>
      </w:r>
      <w:r w:rsidR="00EA4C9B">
        <w:rPr>
          <w:sz w:val="24"/>
          <w:szCs w:val="24"/>
        </w:rPr>
        <w:t>6</w:t>
      </w:r>
      <w:r w:rsidR="00F4031B">
        <w:rPr>
          <w:sz w:val="24"/>
          <w:szCs w:val="24"/>
        </w:rPr>
        <w:t>%</w:t>
      </w:r>
      <w:r w:rsidR="00DB4F42" w:rsidRPr="00296EE7">
        <w:rPr>
          <w:sz w:val="24"/>
          <w:szCs w:val="24"/>
        </w:rPr>
        <w:t xml:space="preserve"> of all workplace inju</w:t>
      </w:r>
      <w:r w:rsidR="001213C5">
        <w:rPr>
          <w:sz w:val="24"/>
          <w:szCs w:val="24"/>
        </w:rPr>
        <w:t>ries reported to the HSA in 201</w:t>
      </w:r>
      <w:r w:rsidR="008216AF">
        <w:rPr>
          <w:sz w:val="24"/>
          <w:szCs w:val="24"/>
        </w:rPr>
        <w:t>5</w:t>
      </w:r>
      <w:r w:rsidR="00DB4F42" w:rsidRPr="00296EE7">
        <w:rPr>
          <w:sz w:val="24"/>
          <w:szCs w:val="24"/>
        </w:rPr>
        <w:t>.</w:t>
      </w:r>
    </w:p>
    <w:p w14:paraId="05FDAF6C" w14:textId="1CA371C1" w:rsidR="00296EE7" w:rsidRDefault="00296EE7" w:rsidP="00DB4F42">
      <w:pPr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</w:pPr>
      <w:r w:rsidRPr="00DB4F42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Injuries</w:t>
      </w:r>
      <w:r w:rsidRPr="00296EE7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</w:t>
      </w:r>
      <w:r w:rsidR="00230BCA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reported by economic sector 201</w:t>
      </w:r>
      <w:r w:rsidR="008216AF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>5</w:t>
      </w:r>
      <w:r w:rsidRPr="00296EE7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(HSA) </w:t>
      </w:r>
    </w:p>
    <w:tbl>
      <w:tblPr>
        <w:tblW w:w="9840" w:type="dxa"/>
        <w:tblInd w:w="88" w:type="dxa"/>
        <w:tblLook w:val="04A0" w:firstRow="1" w:lastRow="0" w:firstColumn="1" w:lastColumn="0" w:noHBand="0" w:noVBand="1"/>
      </w:tblPr>
      <w:tblGrid>
        <w:gridCol w:w="6760"/>
        <w:gridCol w:w="1860"/>
        <w:gridCol w:w="1220"/>
      </w:tblGrid>
      <w:tr w:rsidR="00C70A21" w:rsidRPr="00DB4F42" w14:paraId="49ED1C14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A55273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b/>
                <w:bCs/>
                <w:color w:val="FFFFFF"/>
              </w:rPr>
              <w:t>Sector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58D32D" w14:textId="77777777" w:rsidR="00C70A21" w:rsidRPr="00DB4F42" w:rsidRDefault="00C70A21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No. of Reports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48AA578A" w14:textId="77777777" w:rsidR="00C70A21" w:rsidRPr="00DB4F42" w:rsidRDefault="00C70A21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b/>
                <w:bCs/>
                <w:color w:val="FFFFFF"/>
              </w:rPr>
              <w:t>%</w:t>
            </w:r>
          </w:p>
        </w:tc>
      </w:tr>
      <w:tr w:rsidR="00C70A21" w:rsidRPr="002D140A" w14:paraId="35D2A509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285B0807" w14:textId="77777777" w:rsidR="00C70A21" w:rsidRPr="001213C5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</w:rPr>
              <w:t xml:space="preserve">Human health and social work activities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C970" w14:textId="763FFCD9" w:rsidR="00C70A21" w:rsidRPr="002D140A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F9FCF" w14:textId="529BFAAD" w:rsidR="00C70A21" w:rsidRPr="002D140A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140A">
              <w:rPr>
                <w:rFonts w:ascii="Calibri" w:eastAsia="Times New Roman" w:hAnsi="Calibri" w:cs="Times New Roman"/>
                <w:color w:val="000000"/>
              </w:rPr>
              <w:t>19.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2D140A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70A21" w:rsidRPr="00DB4F42" w14:paraId="0FE12592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6D122621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Manufacturing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B459" w14:textId="79BA1BB5" w:rsidR="00C70A21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CBDFA" w14:textId="0BFF9815" w:rsidR="00C70A21" w:rsidRPr="00DB4F42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70A21" w14:paraId="2C8C6F1B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4B6B0E5B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Wholesale and retail trade;</w:t>
            </w:r>
            <w:r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r w:rsidRPr="00DB4F42">
              <w:rPr>
                <w:rFonts w:ascii="Calibri" w:eastAsia="Times New Roman" w:hAnsi="Calibri" w:cs="Times New Roman"/>
                <w:color w:val="FFFFFF"/>
              </w:rPr>
              <w:t>repair of motor vehicles and motorcycles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9B5D" w14:textId="5982496D" w:rsidR="00C70A21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F249E" w14:textId="395A8D6B" w:rsidR="00C70A21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70A21" w:rsidRPr="00EA4C9B" w14:paraId="0FA5122A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228F3102" w14:textId="77777777" w:rsidR="00C70A21" w:rsidRPr="00EA4C9B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</w:rPr>
            </w:pPr>
            <w:r w:rsidRPr="00EA4C9B">
              <w:rPr>
                <w:rFonts w:ascii="Calibri" w:eastAsia="Times New Roman" w:hAnsi="Calibri" w:cs="Times New Roman"/>
                <w:b/>
                <w:color w:val="FFFFFF"/>
              </w:rPr>
              <w:t>Public administration and defence; compulsory social security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D72A" w14:textId="2A00CDA4" w:rsidR="00C70A21" w:rsidRPr="00EA4C9B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E6645D" w14:textId="77777777" w:rsidR="00C70A21" w:rsidRPr="00EA4C9B" w:rsidRDefault="00C70A21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A4C9B">
              <w:rPr>
                <w:rFonts w:ascii="Calibri" w:eastAsia="Times New Roman" w:hAnsi="Calibri" w:cs="Times New Roman"/>
                <w:b/>
                <w:color w:val="000000"/>
              </w:rPr>
              <w:t>11.6%</w:t>
            </w:r>
          </w:p>
        </w:tc>
      </w:tr>
      <w:tr w:rsidR="00C70A21" w:rsidRPr="00DB4F42" w14:paraId="62EC26DD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4AB68895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Transportation and storage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A63A" w14:textId="0EF01689" w:rsidR="00C70A21" w:rsidRPr="00DB4F42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CFE0B4" w14:textId="4A760E60" w:rsidR="00C70A21" w:rsidRPr="00DB4F42" w:rsidRDefault="00C70A21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  <w:r w:rsidR="008216AF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70A21" w:rsidRPr="00DB4F42" w14:paraId="32FC0EFC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189BE572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Construction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153D" w14:textId="3022C6B0" w:rsidR="00C70A21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1A24C" w14:textId="31CB6631" w:rsidR="00C70A21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7.8</w:t>
            </w:r>
            <w:r w:rsidR="00C70A21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70A21" w14:paraId="3073A7E4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0AD79711" w14:textId="77777777" w:rsidR="00C70A21" w:rsidRPr="00DB4F42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Administrative and support service activities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1F86" w14:textId="6874F07E" w:rsidR="00C70A21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521F0" w14:textId="75EA4C52" w:rsidR="00C70A21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3.6</w:t>
            </w:r>
            <w:r w:rsidR="00C70A21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216AF" w14:paraId="05581CAC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5FFC960A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 xml:space="preserve">Education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F105" w14:textId="2B581120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6F4287" w14:textId="77777777" w:rsidR="008216AF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2.7%</w:t>
            </w:r>
          </w:p>
        </w:tc>
      </w:tr>
      <w:tr w:rsidR="008216AF" w14:paraId="28216731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2979679E" w14:textId="7DCEF6E0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 xml:space="preserve">Accommodation and food service activities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F144" w14:textId="07E1F859" w:rsidR="008216AF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C8183" w14:textId="0301234F" w:rsidR="008216AF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2.6%</w:t>
            </w:r>
          </w:p>
        </w:tc>
      </w:tr>
      <w:tr w:rsidR="008216AF" w14:paraId="0A52C27D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7CA77E44" w14:textId="531D5B6C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Water supply;</w:t>
            </w:r>
            <w:r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r w:rsidRPr="00DB4F42">
              <w:rPr>
                <w:rFonts w:ascii="Calibri" w:eastAsia="Times New Roman" w:hAnsi="Calibri" w:cs="Times New Roman"/>
                <w:color w:val="FFFFFF"/>
              </w:rPr>
              <w:t>sewerage,</w:t>
            </w:r>
            <w:r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r w:rsidRPr="00DB4F42">
              <w:rPr>
                <w:rFonts w:ascii="Calibri" w:eastAsia="Times New Roman" w:hAnsi="Calibri" w:cs="Times New Roman"/>
                <w:color w:val="FFFFFF"/>
              </w:rPr>
              <w:t xml:space="preserve">waste management and remediation activities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F748" w14:textId="284927CF" w:rsidR="008216AF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2534E" w14:textId="1989076B" w:rsidR="008216AF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2.4%</w:t>
            </w:r>
          </w:p>
        </w:tc>
      </w:tr>
      <w:tr w:rsidR="008216AF" w:rsidRPr="00DB4F42" w14:paraId="21CC1BDA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7EC597DE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Other service activities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2791" w14:textId="308146B3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AD28B" w14:textId="182271EC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1.8%</w:t>
            </w:r>
          </w:p>
        </w:tc>
      </w:tr>
      <w:tr w:rsidR="008216AF" w:rsidRPr="00DB4F42" w14:paraId="579FBC04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2E554FB1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Financial and insurance activities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F672" w14:textId="2A4ABBCD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12F49" w14:textId="1F1969C7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1.4%</w:t>
            </w:r>
          </w:p>
        </w:tc>
      </w:tr>
      <w:tr w:rsidR="008216AF" w:rsidRPr="00DB4F42" w14:paraId="45472575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7B95536B" w14:textId="3377C136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Agriculture, forestry and fishing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E21EA" w14:textId="4410082E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7D304" w14:textId="5C267127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1.1%</w:t>
            </w:r>
          </w:p>
        </w:tc>
      </w:tr>
      <w:tr w:rsidR="008216AF" w:rsidRPr="00DB4F42" w14:paraId="6FD1ABAD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25FCBDA5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 xml:space="preserve">Information and communication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34C3" w14:textId="168D1A4A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9042A" w14:textId="57509F42" w:rsidR="008216AF" w:rsidRPr="00DB4F42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0.9%</w:t>
            </w:r>
          </w:p>
        </w:tc>
      </w:tr>
      <w:tr w:rsidR="008216AF" w14:paraId="3ADD3016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63D10584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Professional, scientific and technical activities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8C44" w14:textId="71E82581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8AFB73" w14:textId="2EEB7865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0.8%</w:t>
            </w:r>
          </w:p>
        </w:tc>
      </w:tr>
      <w:tr w:rsidR="008216AF" w14:paraId="7297E25A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39B69282" w14:textId="08EA2742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Arts, entertainment and recreation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4D29" w14:textId="19F0C620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DFDFC2" w14:textId="44ED877A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0.7%</w:t>
            </w:r>
          </w:p>
        </w:tc>
      </w:tr>
      <w:tr w:rsidR="008216AF" w14:paraId="72435AE1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6699C505" w14:textId="6781521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 xml:space="preserve">Mining and quarrying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384B" w14:textId="3DE21E94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4692B" w14:textId="144371B7" w:rsidR="008216AF" w:rsidRDefault="008216AF" w:rsidP="00821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0.5%</w:t>
            </w:r>
          </w:p>
        </w:tc>
      </w:tr>
      <w:tr w:rsidR="008216AF" w:rsidRPr="00DB4F42" w14:paraId="5D282CFE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02EFCB91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Electricity,</w:t>
            </w:r>
            <w:r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r w:rsidRPr="00DB4F42">
              <w:rPr>
                <w:rFonts w:ascii="Calibri" w:eastAsia="Times New Roman" w:hAnsi="Calibri" w:cs="Times New Roman"/>
                <w:color w:val="FFFFFF"/>
              </w:rPr>
              <w:t>gas,</w:t>
            </w:r>
            <w:r>
              <w:rPr>
                <w:rFonts w:ascii="Calibri" w:eastAsia="Times New Roman" w:hAnsi="Calibri" w:cs="Times New Roman"/>
                <w:color w:val="FFFFFF"/>
              </w:rPr>
              <w:t xml:space="preserve"> </w:t>
            </w:r>
            <w:r w:rsidRPr="00DB4F42">
              <w:rPr>
                <w:rFonts w:ascii="Calibri" w:eastAsia="Times New Roman" w:hAnsi="Calibri" w:cs="Times New Roman"/>
                <w:color w:val="FFFFFF"/>
              </w:rPr>
              <w:t>steam and air conditioning supply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25F5" w14:textId="073C8D5D" w:rsidR="008216AF" w:rsidRPr="00DB4F42" w:rsidRDefault="008216AF" w:rsidP="00682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82A7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A0F42" w14:textId="77777777" w:rsidR="008216AF" w:rsidRPr="00DB4F42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0.4%</w:t>
            </w:r>
          </w:p>
        </w:tc>
      </w:tr>
      <w:tr w:rsidR="008216AF" w:rsidRPr="00DB4F42" w14:paraId="225D5883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  <w:hideMark/>
          </w:tcPr>
          <w:p w14:paraId="6952FA31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color w:val="FFFFFF"/>
              </w:rPr>
              <w:t>Real estate activities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158D" w14:textId="7B5AE1E0" w:rsidR="008216AF" w:rsidRPr="00DB4F42" w:rsidRDefault="008216AF" w:rsidP="00682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  <w:r w:rsidR="00682A7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87D57" w14:textId="77777777" w:rsidR="008216AF" w:rsidRPr="00DB4F42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0.2%</w:t>
            </w:r>
          </w:p>
        </w:tc>
      </w:tr>
      <w:tr w:rsidR="00682A77" w:rsidRPr="00DB4F42" w14:paraId="5DF28DE6" w14:textId="77777777" w:rsidTr="008C2135">
        <w:trPr>
          <w:trHeight w:val="30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bottom"/>
          </w:tcPr>
          <w:p w14:paraId="065037A3" w14:textId="3D3AAA77" w:rsidR="00682A77" w:rsidRPr="00DB4F42" w:rsidRDefault="00682A77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>
              <w:rPr>
                <w:rFonts w:ascii="Calibri" w:eastAsia="Times New Roman" w:hAnsi="Calibri" w:cs="Times New Roman"/>
                <w:color w:val="FFFFFF"/>
              </w:rPr>
              <w:t>Missing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2C19" w14:textId="0EAA5F04" w:rsidR="00682A77" w:rsidRDefault="00682A77" w:rsidP="00682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FAAA7" w14:textId="390BD061" w:rsidR="00682A77" w:rsidRDefault="00682A77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8216AF" w:rsidRPr="002D140A" w14:paraId="5AA9082D" w14:textId="77777777" w:rsidTr="008C2135">
        <w:trPr>
          <w:trHeight w:val="315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194E43" w14:textId="77777777" w:rsidR="008216AF" w:rsidRPr="00DB4F42" w:rsidRDefault="008216AF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B4F42">
              <w:rPr>
                <w:rFonts w:ascii="Calibri" w:eastAsia="Times New Roman" w:hAnsi="Calibri" w:cs="Times New Roman"/>
                <w:b/>
                <w:bCs/>
                <w:color w:val="FFFFFF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4C7" w14:textId="6026DE37" w:rsidR="008216AF" w:rsidRPr="00DB4F42" w:rsidRDefault="008216AF" w:rsidP="00682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682A77">
              <w:rPr>
                <w:rFonts w:ascii="Calibri" w:eastAsia="Times New Roman" w:hAnsi="Calibri" w:cs="Times New Roman"/>
                <w:b/>
                <w:bCs/>
                <w:color w:val="000000"/>
              </w:rPr>
              <w:t>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D3A79" w14:textId="77777777" w:rsidR="008216AF" w:rsidRPr="002D140A" w:rsidRDefault="008216AF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D140A">
              <w:rPr>
                <w:rFonts w:ascii="Calibri" w:eastAsia="Times New Roman" w:hAnsi="Calibri" w:cs="Times New Roman"/>
                <w:b/>
                <w:color w:val="000000"/>
              </w:rPr>
              <w:t>100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.0</w:t>
            </w:r>
            <w:r w:rsidRPr="002D140A">
              <w:rPr>
                <w:rFonts w:ascii="Calibri" w:eastAsia="Times New Roman" w:hAnsi="Calibri" w:cs="Times New Roman"/>
                <w:b/>
                <w:color w:val="000000"/>
              </w:rPr>
              <w:t>% </w:t>
            </w:r>
          </w:p>
        </w:tc>
      </w:tr>
    </w:tbl>
    <w:p w14:paraId="2F2AA360" w14:textId="73D4BBE3" w:rsidR="00AB5603" w:rsidRPr="00AB5603" w:rsidRDefault="00DB4F42" w:rsidP="00DB4F42">
      <w:r w:rsidRPr="00AB5603">
        <w:rPr>
          <w:b/>
        </w:rPr>
        <w:t>Source:</w:t>
      </w:r>
      <w:r w:rsidRPr="00AB5603">
        <w:t xml:space="preserve"> HSA Summary of Workplace Injury, Illn</w:t>
      </w:r>
      <w:r w:rsidR="00B10EA1" w:rsidRPr="00AB5603">
        <w:t>ess and Fatality Statistics 201</w:t>
      </w:r>
      <w:r w:rsidR="00682A77">
        <w:t>4</w:t>
      </w:r>
      <w:r w:rsidR="005F2DA7" w:rsidRPr="00AB5603">
        <w:t>-201</w:t>
      </w:r>
      <w:r w:rsidR="00682A77">
        <w:t>5</w:t>
      </w:r>
    </w:p>
    <w:p w14:paraId="5DDFF0B5" w14:textId="17AF0434" w:rsidR="00AB5603" w:rsidRPr="00AB5603" w:rsidRDefault="00AB5603" w:rsidP="00AB5603">
      <w:r w:rsidRPr="00AB5603">
        <w:t>*</w:t>
      </w:r>
      <w:r w:rsidR="005A6247" w:rsidRPr="005A6247">
        <w:rPr>
          <w:b/>
          <w:sz w:val="24"/>
          <w:szCs w:val="24"/>
        </w:rPr>
        <w:t xml:space="preserve"> </w:t>
      </w:r>
      <w:r w:rsidR="005A6247">
        <w:rPr>
          <w:b/>
          <w:sz w:val="24"/>
          <w:szCs w:val="24"/>
        </w:rPr>
        <w:t>‘</w:t>
      </w:r>
      <w:r w:rsidR="005A6247" w:rsidRPr="00C70A21">
        <w:t>Public Administration and Defence; compulsory social security’</w:t>
      </w:r>
      <w:r w:rsidR="005A6247">
        <w:t xml:space="preserve"> </w:t>
      </w:r>
      <w:r w:rsidR="005A6247" w:rsidRPr="005A6247">
        <w:t xml:space="preserve"> </w:t>
      </w:r>
      <w:r w:rsidRPr="00AB5603">
        <w:t xml:space="preserve">NACE O </w:t>
      </w:r>
      <w:r w:rsidR="003620F2">
        <w:t>relates</w:t>
      </w:r>
      <w:r w:rsidRPr="00AB5603">
        <w:t xml:space="preserve"> to government activities and includes public administration, regulation of activities, defence, foreign affairs, justice, public  order and safety, fire services and security</w:t>
      </w:r>
      <w:r w:rsidR="003620F2">
        <w:t xml:space="preserve"> activities</w:t>
      </w:r>
      <w:r w:rsidRPr="00AB5603">
        <w:t>. It does not include public service activities that are specifically attributable to other NACE codes such as E</w:t>
      </w:r>
      <w:r w:rsidR="00E95B4D">
        <w:t>ducation (NACE P) and Health and Social Care</w:t>
      </w:r>
      <w:r w:rsidRPr="00AB5603">
        <w:t xml:space="preserve"> (NACE Q). For a full description of NACE O and NACE codes see Eurostat website at </w:t>
      </w:r>
      <w:hyperlink r:id="rId12" w:history="1">
        <w:r w:rsidR="00C70A21">
          <w:rPr>
            <w:rStyle w:val="Hyperlink"/>
          </w:rPr>
          <w:t>http://ec.europa.eu/eurostat/overview</w:t>
        </w:r>
      </w:hyperlink>
      <w:r w:rsidRPr="00AB5603">
        <w:rPr>
          <w:i/>
        </w:rPr>
        <w:t>.</w:t>
      </w:r>
      <w:r w:rsidRPr="00AB5603">
        <w:t xml:space="preserve"> </w:t>
      </w:r>
    </w:p>
    <w:p w14:paraId="5448192E" w14:textId="77777777" w:rsidR="00C70A21" w:rsidRDefault="00C70A21" w:rsidP="00D02AB9">
      <w:pPr>
        <w:rPr>
          <w:b/>
          <w:sz w:val="24"/>
          <w:szCs w:val="24"/>
        </w:rPr>
        <w:sectPr w:rsidR="00C70A21" w:rsidSect="00C70A21">
          <w:pgSz w:w="12240" w:h="15840"/>
          <w:pgMar w:top="1440" w:right="568" w:bottom="1440" w:left="1134" w:header="708" w:footer="708" w:gutter="0"/>
          <w:cols w:space="708"/>
          <w:docGrid w:linePitch="360"/>
        </w:sectPr>
      </w:pPr>
    </w:p>
    <w:p w14:paraId="05FDAFCE" w14:textId="0DA6D50D" w:rsidR="00D02AB9" w:rsidRPr="00D02AB9" w:rsidRDefault="00D02AB9" w:rsidP="00D02AB9">
      <w:pPr>
        <w:rPr>
          <w:b/>
          <w:sz w:val="24"/>
          <w:szCs w:val="24"/>
        </w:rPr>
      </w:pPr>
      <w:r w:rsidRPr="00D02AB9">
        <w:rPr>
          <w:b/>
          <w:sz w:val="24"/>
          <w:szCs w:val="24"/>
        </w:rPr>
        <w:lastRenderedPageBreak/>
        <w:t>Number a</w:t>
      </w:r>
      <w:r w:rsidR="003620F2">
        <w:rPr>
          <w:b/>
          <w:sz w:val="24"/>
          <w:szCs w:val="24"/>
        </w:rPr>
        <w:t>nd rate of total injuries in Public A</w:t>
      </w:r>
      <w:r w:rsidR="00BB0E3B">
        <w:rPr>
          <w:b/>
          <w:sz w:val="24"/>
          <w:szCs w:val="24"/>
        </w:rPr>
        <w:t xml:space="preserve">dministration </w:t>
      </w:r>
      <w:r w:rsidR="003620F2">
        <w:rPr>
          <w:b/>
          <w:sz w:val="24"/>
          <w:szCs w:val="24"/>
        </w:rPr>
        <w:t>and Defence (NACE O)</w:t>
      </w:r>
      <w:r w:rsidR="005C7ACD">
        <w:rPr>
          <w:b/>
          <w:sz w:val="24"/>
          <w:szCs w:val="24"/>
        </w:rPr>
        <w:t xml:space="preserve"> </w:t>
      </w:r>
      <w:r w:rsidRPr="00D02AB9">
        <w:rPr>
          <w:b/>
          <w:sz w:val="24"/>
          <w:szCs w:val="24"/>
        </w:rPr>
        <w:t>relative to the number and rate of total inj</w:t>
      </w:r>
      <w:r w:rsidR="00AC7B20">
        <w:rPr>
          <w:b/>
          <w:sz w:val="24"/>
          <w:szCs w:val="24"/>
        </w:rPr>
        <w:t>uries in all sectors 200</w:t>
      </w:r>
      <w:r w:rsidR="00BB0E3B">
        <w:rPr>
          <w:b/>
          <w:sz w:val="24"/>
          <w:szCs w:val="24"/>
        </w:rPr>
        <w:t>9</w:t>
      </w:r>
      <w:r w:rsidR="00AC7B20">
        <w:rPr>
          <w:b/>
          <w:sz w:val="24"/>
          <w:szCs w:val="24"/>
        </w:rPr>
        <w:t xml:space="preserve"> – 201</w:t>
      </w:r>
      <w:r w:rsidR="00BB0E3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05FDAFCF" w14:textId="3FFF3259" w:rsidR="009D0EC8" w:rsidRDefault="00EF6564" w:rsidP="009D0E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201</w:t>
      </w:r>
      <w:r w:rsidR="00556908">
        <w:rPr>
          <w:sz w:val="24"/>
          <w:szCs w:val="24"/>
        </w:rPr>
        <w:t>4</w:t>
      </w:r>
      <w:r w:rsidR="009D0EC8">
        <w:rPr>
          <w:sz w:val="24"/>
          <w:szCs w:val="24"/>
        </w:rPr>
        <w:t xml:space="preserve">, the injury rate </w:t>
      </w:r>
      <w:r w:rsidR="00F00381">
        <w:rPr>
          <w:sz w:val="24"/>
          <w:szCs w:val="24"/>
        </w:rPr>
        <w:t xml:space="preserve">(rate per 1,000) </w:t>
      </w:r>
      <w:r w:rsidR="009D0EC8">
        <w:rPr>
          <w:sz w:val="24"/>
          <w:szCs w:val="24"/>
        </w:rPr>
        <w:t xml:space="preserve">recorded by the Central Statistics Office </w:t>
      </w:r>
      <w:r w:rsidR="00335B8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B841D4">
        <w:rPr>
          <w:sz w:val="24"/>
          <w:szCs w:val="24"/>
        </w:rPr>
        <w:t xml:space="preserve">Public Administration </w:t>
      </w:r>
      <w:r w:rsidR="00335B81">
        <w:rPr>
          <w:sz w:val="24"/>
          <w:szCs w:val="24"/>
        </w:rPr>
        <w:t xml:space="preserve">and </w:t>
      </w:r>
      <w:proofErr w:type="spellStart"/>
      <w:r w:rsidR="00335B81">
        <w:rPr>
          <w:sz w:val="24"/>
          <w:szCs w:val="24"/>
        </w:rPr>
        <w:t>Defence</w:t>
      </w:r>
      <w:proofErr w:type="spellEnd"/>
      <w:r w:rsidR="00B114E2">
        <w:rPr>
          <w:sz w:val="24"/>
          <w:szCs w:val="24"/>
        </w:rPr>
        <w:t>,</w:t>
      </w:r>
      <w:r w:rsidR="001B0D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</w:t>
      </w:r>
      <w:r w:rsidR="00556908">
        <w:rPr>
          <w:sz w:val="24"/>
          <w:szCs w:val="24"/>
        </w:rPr>
        <w:t>24</w:t>
      </w:r>
      <w:r w:rsidR="001B0D12">
        <w:rPr>
          <w:sz w:val="24"/>
          <w:szCs w:val="24"/>
        </w:rPr>
        <w:t xml:space="preserve">. This </w:t>
      </w:r>
      <w:r w:rsidR="00AC7B20">
        <w:rPr>
          <w:sz w:val="24"/>
          <w:szCs w:val="24"/>
        </w:rPr>
        <w:t>is higher than the</w:t>
      </w:r>
      <w:r w:rsidR="00406B77">
        <w:rPr>
          <w:sz w:val="24"/>
          <w:szCs w:val="24"/>
        </w:rPr>
        <w:t xml:space="preserve"> rate</w:t>
      </w:r>
      <w:r w:rsidR="00AC7B20">
        <w:rPr>
          <w:sz w:val="24"/>
          <w:szCs w:val="24"/>
        </w:rPr>
        <w:t xml:space="preserve"> for all sectors, which </w:t>
      </w:r>
      <w:proofErr w:type="gramStart"/>
      <w:r w:rsidR="00AC7B20">
        <w:rPr>
          <w:sz w:val="24"/>
          <w:szCs w:val="24"/>
        </w:rPr>
        <w:t>was</w:t>
      </w:r>
      <w:proofErr w:type="gramEnd"/>
      <w:r w:rsidR="00AC7B20">
        <w:rPr>
          <w:sz w:val="24"/>
          <w:szCs w:val="24"/>
        </w:rPr>
        <w:t xml:space="preserve"> </w:t>
      </w:r>
      <w:r w:rsidR="001B0D12">
        <w:rPr>
          <w:sz w:val="24"/>
          <w:szCs w:val="24"/>
        </w:rPr>
        <w:t>2</w:t>
      </w:r>
      <w:r w:rsidR="00556908">
        <w:rPr>
          <w:sz w:val="24"/>
          <w:szCs w:val="24"/>
        </w:rPr>
        <w:t>0.5</w:t>
      </w:r>
      <w:r w:rsidR="009D0EC8">
        <w:rPr>
          <w:sz w:val="24"/>
          <w:szCs w:val="24"/>
        </w:rPr>
        <w:t>.</w:t>
      </w:r>
    </w:p>
    <w:tbl>
      <w:tblPr>
        <w:tblW w:w="0" w:type="auto"/>
        <w:tblInd w:w="-705" w:type="dxa"/>
        <w:tblLayout w:type="fixed"/>
        <w:tblLook w:val="04A0" w:firstRow="1" w:lastRow="0" w:firstColumn="1" w:lastColumn="0" w:noHBand="0" w:noVBand="1"/>
      </w:tblPr>
      <w:tblGrid>
        <w:gridCol w:w="1522"/>
        <w:gridCol w:w="1233"/>
        <w:gridCol w:w="1233"/>
        <w:gridCol w:w="1234"/>
        <w:gridCol w:w="1233"/>
        <w:gridCol w:w="1233"/>
        <w:gridCol w:w="1233"/>
        <w:gridCol w:w="1233"/>
        <w:gridCol w:w="1234"/>
        <w:gridCol w:w="1233"/>
        <w:gridCol w:w="1234"/>
      </w:tblGrid>
      <w:tr w:rsidR="00846A30" w14:paraId="1D84DD26" w14:textId="0DA9B738" w:rsidTr="00846A30">
        <w:trPr>
          <w:trHeight w:val="315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5A9E"/>
            <w:noWrap/>
            <w:vAlign w:val="bottom"/>
            <w:hideMark/>
          </w:tcPr>
          <w:p w14:paraId="55E27B39" w14:textId="77777777" w:rsidR="00846A30" w:rsidRPr="00C34A3E" w:rsidRDefault="00846A30" w:rsidP="008C2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4A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5A9E"/>
            <w:noWrap/>
            <w:vAlign w:val="center"/>
            <w:hideMark/>
          </w:tcPr>
          <w:p w14:paraId="095A9CC6" w14:textId="77777777" w:rsidR="00846A30" w:rsidRPr="00C34A3E" w:rsidRDefault="00846A30" w:rsidP="008C213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C34A3E">
              <w:rPr>
                <w:rFonts w:ascii="Calibri" w:hAnsi="Calibri"/>
                <w:b/>
                <w:bCs/>
                <w:color w:val="FFFFFF"/>
              </w:rPr>
              <w:t>20</w:t>
            </w:r>
            <w:r>
              <w:rPr>
                <w:rFonts w:ascii="Calibri" w:hAnsi="Calibri"/>
                <w:b/>
                <w:bCs/>
                <w:color w:val="FFFFFF"/>
              </w:rPr>
              <w:t>10</w:t>
            </w:r>
          </w:p>
        </w:tc>
        <w:tc>
          <w:tcPr>
            <w:tcW w:w="24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005A9E"/>
            <w:noWrap/>
            <w:vAlign w:val="center"/>
            <w:hideMark/>
          </w:tcPr>
          <w:p w14:paraId="743D0E8D" w14:textId="77777777" w:rsidR="00846A30" w:rsidRPr="00C34A3E" w:rsidRDefault="00846A30" w:rsidP="008C213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C34A3E">
              <w:rPr>
                <w:rFonts w:ascii="Calibri" w:hAnsi="Calibri"/>
                <w:b/>
                <w:bCs/>
                <w:color w:val="FFFFFF"/>
              </w:rPr>
              <w:t>20</w:t>
            </w:r>
            <w:r>
              <w:rPr>
                <w:rFonts w:ascii="Calibri" w:hAnsi="Calibri"/>
                <w:b/>
                <w:bCs/>
                <w:color w:val="FFFFFF"/>
              </w:rPr>
              <w:t>11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65642105" w14:textId="77777777" w:rsidR="00846A30" w:rsidRPr="00C34A3E" w:rsidRDefault="00846A30" w:rsidP="008C213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4D53A8F0" w14:textId="77777777" w:rsidR="00846A30" w:rsidRDefault="00846A30" w:rsidP="008C213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42E6A8EC" w14:textId="587D2D57" w:rsidR="00846A30" w:rsidRDefault="00846A30" w:rsidP="008C2135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2014</w:t>
            </w:r>
          </w:p>
        </w:tc>
      </w:tr>
      <w:tr w:rsidR="00846A30" w:rsidRPr="00AC7B20" w14:paraId="0656937E" w14:textId="25EB4DD0" w:rsidTr="00CB62D5">
        <w:trPr>
          <w:trHeight w:val="60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5A9E"/>
            <w:vAlign w:val="bottom"/>
            <w:hideMark/>
          </w:tcPr>
          <w:p w14:paraId="0D24CC1B" w14:textId="77777777" w:rsidR="00846A30" w:rsidRPr="00C34A3E" w:rsidRDefault="00846A30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34A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660993B5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Number injuries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18746458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443A326D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Number injuries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07AD4AC1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1E1988B6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Number injuries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549E633E" w14:textId="77777777" w:rsidR="00846A30" w:rsidRPr="00AC7B2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 w:rsidRPr="00AC7B20">
              <w:rPr>
                <w:rFonts w:ascii="Calibri" w:hAnsi="Calibr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</w:tcPr>
          <w:p w14:paraId="5B52130B" w14:textId="77777777" w:rsidR="00846A30" w:rsidRDefault="00846A30" w:rsidP="008C2135">
            <w:pPr>
              <w:rPr>
                <w:rFonts w:ascii="Calibri" w:hAnsi="Calibri"/>
                <w:color w:val="FFFFFF"/>
              </w:rPr>
            </w:pPr>
          </w:p>
          <w:p w14:paraId="76B17ECF" w14:textId="77777777" w:rsidR="00846A30" w:rsidRPr="00AC7B2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Number injuries</w:t>
            </w:r>
          </w:p>
          <w:p w14:paraId="125AC808" w14:textId="77777777" w:rsidR="00846A30" w:rsidRPr="00C34A3E" w:rsidRDefault="00846A30" w:rsidP="008C2135">
            <w:pPr>
              <w:rPr>
                <w:rFonts w:ascii="Calibri" w:hAnsi="Calibri"/>
                <w:color w:val="FFFFFF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</w:tcPr>
          <w:p w14:paraId="3FB8A5E9" w14:textId="77777777" w:rsidR="00846A3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</w:p>
          <w:p w14:paraId="29C1AEAB" w14:textId="77777777" w:rsidR="00846A30" w:rsidRPr="00AC7B2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</w:tcPr>
          <w:p w14:paraId="7A6D364E" w14:textId="77777777" w:rsidR="00846A30" w:rsidRDefault="00846A30" w:rsidP="00FB10AC">
            <w:pPr>
              <w:rPr>
                <w:rFonts w:ascii="Calibri" w:hAnsi="Calibri"/>
                <w:color w:val="FFFFFF"/>
              </w:rPr>
            </w:pPr>
          </w:p>
          <w:p w14:paraId="4AC952A9" w14:textId="77777777" w:rsidR="00846A30" w:rsidRPr="00AC7B20" w:rsidRDefault="00846A30" w:rsidP="00FB10AC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Number injuries</w:t>
            </w:r>
          </w:p>
          <w:p w14:paraId="5FF910DF" w14:textId="77777777" w:rsidR="00846A3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</w:tcPr>
          <w:p w14:paraId="2874EEB2" w14:textId="77777777" w:rsidR="00846A30" w:rsidRDefault="00846A30" w:rsidP="00FB10AC">
            <w:pPr>
              <w:rPr>
                <w:rFonts w:ascii="Calibri" w:hAnsi="Calibri"/>
                <w:color w:val="FFFFFF"/>
                <w:sz w:val="20"/>
                <w:szCs w:val="20"/>
              </w:rPr>
            </w:pPr>
          </w:p>
          <w:p w14:paraId="4F14E380" w14:textId="28F5D937" w:rsidR="00846A30" w:rsidRDefault="00846A30" w:rsidP="008C2135">
            <w:pPr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Rate per 1000</w:t>
            </w:r>
          </w:p>
        </w:tc>
      </w:tr>
      <w:tr w:rsidR="00846A30" w14:paraId="15D5737D" w14:textId="6F689584" w:rsidTr="00846A30">
        <w:trPr>
          <w:trHeight w:val="600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7F7F7F"/>
            <w:vAlign w:val="center"/>
            <w:hideMark/>
          </w:tcPr>
          <w:p w14:paraId="4264F32F" w14:textId="77777777" w:rsidR="00846A30" w:rsidRPr="00AC7B20" w:rsidRDefault="00846A30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Public Administration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4050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5,611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334C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DC92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3,637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4D7E2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AAC2E8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0414E6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A2947E" w14:textId="77777777" w:rsidR="00846A30" w:rsidRDefault="00846A30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3,337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2796E9" w14:textId="77777777" w:rsidR="00846A30" w:rsidRDefault="00846A30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C0EEC0" w14:textId="10D8F819" w:rsidR="00846A30" w:rsidRDefault="00846A30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2,315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3CD800" w14:textId="6EB28C34" w:rsidR="00846A30" w:rsidRDefault="00846A30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846A30" w14:paraId="6B116EB4" w14:textId="2B3732D2" w:rsidTr="00846A30">
        <w:trPr>
          <w:trHeight w:val="315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14:paraId="38BC4C37" w14:textId="77777777" w:rsidR="00846A30" w:rsidRPr="00AC7B20" w:rsidRDefault="00846A30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AC7B20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All sectors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D75" w14:textId="383ADBF6" w:rsidR="00846A30" w:rsidRPr="00AC7B20" w:rsidRDefault="00846A30" w:rsidP="00846A3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40,584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555FB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7B2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6E47" w14:textId="5B795D66" w:rsidR="00846A30" w:rsidRPr="00AC7B20" w:rsidRDefault="00846A30" w:rsidP="00846A3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40,097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6971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0F11D" w14:textId="6FD3ED32" w:rsidR="00846A30" w:rsidRPr="00AC7B20" w:rsidRDefault="00846A30" w:rsidP="00846A3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35,001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EAFEF" w14:textId="77777777" w:rsidR="00846A30" w:rsidRPr="00AC7B20" w:rsidRDefault="00846A30" w:rsidP="008C21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07231" w14:textId="2DF81928" w:rsidR="00846A30" w:rsidRDefault="00846A30" w:rsidP="00846A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46,574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979C6" w14:textId="77777777" w:rsidR="00846A30" w:rsidRDefault="00846A30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523974" w14:textId="2B62FF56" w:rsidR="00846A30" w:rsidRDefault="00556908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39,319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A56C51" w14:textId="0FEA439D" w:rsidR="00846A30" w:rsidRDefault="00556908" w:rsidP="008C21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</w:t>
            </w:r>
          </w:p>
        </w:tc>
      </w:tr>
    </w:tbl>
    <w:p w14:paraId="3040FC7C" w14:textId="77777777" w:rsidR="00C70A21" w:rsidRDefault="00C70A21" w:rsidP="009D0EC8">
      <w:pPr>
        <w:spacing w:line="240" w:lineRule="auto"/>
        <w:rPr>
          <w:sz w:val="24"/>
          <w:szCs w:val="24"/>
        </w:rPr>
      </w:pPr>
    </w:p>
    <w:p w14:paraId="05FDB002" w14:textId="77777777" w:rsidR="00C34A3E" w:rsidRPr="00C34A3E" w:rsidRDefault="00C34A3E" w:rsidP="00C34A3E">
      <w:r w:rsidRPr="00C34A3E">
        <w:rPr>
          <w:b/>
        </w:rPr>
        <w:t>Source:</w:t>
      </w:r>
      <w:r w:rsidRPr="00C34A3E">
        <w:t xml:space="preserve"> CSO Quarterly National Household Surveys.  These are sample surveys and accordingly the data are estimates and liable to sampling error.</w:t>
      </w:r>
    </w:p>
    <w:p w14:paraId="05FDB004" w14:textId="428BFACA" w:rsidR="006719D3" w:rsidRDefault="000F4ACE" w:rsidP="00316F02">
      <w:pPr>
        <w:spacing w:after="0" w:line="240" w:lineRule="auto"/>
        <w:rPr>
          <w:sz w:val="24"/>
          <w:szCs w:val="24"/>
        </w:rPr>
        <w:sectPr w:rsidR="006719D3" w:rsidSect="00C70A21">
          <w:pgSz w:w="15840" w:h="12240" w:orient="landscape"/>
          <w:pgMar w:top="1134" w:right="1440" w:bottom="568" w:left="1440" w:header="708" w:footer="708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05FDB006" w14:textId="60F7BD18" w:rsidR="00893C6F" w:rsidRPr="00AB5603" w:rsidRDefault="0083193E" w:rsidP="00893C6F">
      <w:pPr>
        <w:rPr>
          <w:b/>
          <w:sz w:val="24"/>
          <w:szCs w:val="24"/>
        </w:rPr>
      </w:pPr>
      <w:r w:rsidRPr="00AB5603">
        <w:rPr>
          <w:b/>
          <w:sz w:val="24"/>
          <w:szCs w:val="24"/>
        </w:rPr>
        <w:lastRenderedPageBreak/>
        <w:t xml:space="preserve">Public Administration </w:t>
      </w:r>
      <w:r w:rsidR="003620F2">
        <w:rPr>
          <w:b/>
          <w:sz w:val="24"/>
          <w:szCs w:val="24"/>
        </w:rPr>
        <w:t xml:space="preserve">and Defence </w:t>
      </w:r>
      <w:r w:rsidR="00893C6F" w:rsidRPr="00AB5603">
        <w:rPr>
          <w:b/>
          <w:sz w:val="24"/>
          <w:szCs w:val="24"/>
        </w:rPr>
        <w:t xml:space="preserve">(NACE </w:t>
      </w:r>
      <w:r w:rsidRPr="00AB5603">
        <w:rPr>
          <w:b/>
          <w:sz w:val="24"/>
          <w:szCs w:val="24"/>
        </w:rPr>
        <w:t>O</w:t>
      </w:r>
      <w:r w:rsidR="00893C6F" w:rsidRPr="00AB5603">
        <w:rPr>
          <w:b/>
          <w:sz w:val="24"/>
          <w:szCs w:val="24"/>
        </w:rPr>
        <w:t>) no</w:t>
      </w:r>
      <w:r w:rsidR="003D5A15" w:rsidRPr="00AB5603">
        <w:rPr>
          <w:b/>
          <w:sz w:val="24"/>
          <w:szCs w:val="24"/>
        </w:rPr>
        <w:t>n-fatal injuries by trigger 201</w:t>
      </w:r>
      <w:r w:rsidR="009E37C9">
        <w:rPr>
          <w:b/>
          <w:sz w:val="24"/>
          <w:szCs w:val="24"/>
        </w:rPr>
        <w:t>5</w:t>
      </w:r>
      <w:r w:rsidR="00893C6F" w:rsidRPr="00AB5603">
        <w:rPr>
          <w:b/>
          <w:sz w:val="24"/>
          <w:szCs w:val="24"/>
        </w:rPr>
        <w:t xml:space="preserve"> (HSA)</w:t>
      </w:r>
    </w:p>
    <w:p w14:paraId="05FDB007" w14:textId="72133511" w:rsidR="000F4ACE" w:rsidRPr="00AB5603" w:rsidRDefault="00893C6F" w:rsidP="00893C6F">
      <w:pPr>
        <w:rPr>
          <w:sz w:val="24"/>
          <w:szCs w:val="24"/>
        </w:rPr>
      </w:pPr>
      <w:r w:rsidRPr="00AB5603">
        <w:rPr>
          <w:sz w:val="24"/>
          <w:szCs w:val="24"/>
        </w:rPr>
        <w:t>Reported data from employers in 201</w:t>
      </w:r>
      <w:r w:rsidR="009E37C9">
        <w:rPr>
          <w:sz w:val="24"/>
          <w:szCs w:val="24"/>
        </w:rPr>
        <w:t>5</w:t>
      </w:r>
      <w:r w:rsidR="00F9141D">
        <w:rPr>
          <w:sz w:val="24"/>
          <w:szCs w:val="24"/>
        </w:rPr>
        <w:t>, indicates the same top four</w:t>
      </w:r>
      <w:r w:rsidR="00E95B4D">
        <w:rPr>
          <w:sz w:val="24"/>
          <w:szCs w:val="24"/>
        </w:rPr>
        <w:t xml:space="preserve"> accident triggers are</w:t>
      </w:r>
      <w:r w:rsidR="003D5A15" w:rsidRPr="00AB5603">
        <w:rPr>
          <w:sz w:val="24"/>
          <w:szCs w:val="24"/>
        </w:rPr>
        <w:t>:</w:t>
      </w:r>
    </w:p>
    <w:p w14:paraId="05FDB008" w14:textId="77777777" w:rsidR="000F4ACE" w:rsidRPr="00AB5603" w:rsidRDefault="00893C6F" w:rsidP="000F4AC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B5603">
        <w:rPr>
          <w:rFonts w:asciiTheme="minorHAnsi" w:hAnsiTheme="minorHAnsi"/>
        </w:rPr>
        <w:t xml:space="preserve">manual handling; </w:t>
      </w:r>
    </w:p>
    <w:p w14:paraId="05FDB009" w14:textId="0705A8A9" w:rsidR="000F4ACE" w:rsidRPr="00AB5603" w:rsidRDefault="0083193E" w:rsidP="000F4AC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B5603">
        <w:rPr>
          <w:rFonts w:asciiTheme="minorHAnsi" w:hAnsiTheme="minorHAnsi"/>
        </w:rPr>
        <w:t>slips, trips and falls;</w:t>
      </w:r>
    </w:p>
    <w:p w14:paraId="4B18F795" w14:textId="77777777" w:rsidR="009E37C9" w:rsidRDefault="009E37C9" w:rsidP="009E37C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aggression, shock fright or violence</w:t>
      </w:r>
    </w:p>
    <w:p w14:paraId="33094539" w14:textId="2351C3F7" w:rsidR="0083193E" w:rsidRDefault="0035717E" w:rsidP="000F4AC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3193E" w:rsidRPr="00AB5603">
        <w:rPr>
          <w:rFonts w:asciiTheme="minorHAnsi" w:hAnsiTheme="minorHAnsi"/>
        </w:rPr>
        <w:t>oss of c</w:t>
      </w:r>
      <w:r>
        <w:rPr>
          <w:rFonts w:asciiTheme="minorHAnsi" w:hAnsiTheme="minorHAnsi"/>
        </w:rPr>
        <w:t xml:space="preserve">ontrol of means of transport </w:t>
      </w:r>
    </w:p>
    <w:p w14:paraId="4AAEE83A" w14:textId="74DC5BA9" w:rsidR="00F9141D" w:rsidRPr="00AB5603" w:rsidRDefault="00F9141D" w:rsidP="00F9141D">
      <w:pPr>
        <w:pStyle w:val="ListParagraph"/>
        <w:rPr>
          <w:rFonts w:asciiTheme="minorHAnsi" w:hAnsiTheme="minorHAnsi"/>
        </w:rPr>
      </w:pPr>
    </w:p>
    <w:p w14:paraId="05FDB00B" w14:textId="1B6D42B0" w:rsidR="006719D3" w:rsidRDefault="006719D3" w:rsidP="006719D3">
      <w:pPr>
        <w:rPr>
          <w:sz w:val="24"/>
          <w:szCs w:val="24"/>
        </w:rPr>
      </w:pPr>
      <w:r w:rsidRPr="00AB5603">
        <w:rPr>
          <w:sz w:val="24"/>
          <w:szCs w:val="24"/>
        </w:rPr>
        <w:t xml:space="preserve">Details of reported incidents within the </w:t>
      </w:r>
      <w:r w:rsidR="008951F5" w:rsidRPr="00AB5603">
        <w:rPr>
          <w:sz w:val="24"/>
          <w:szCs w:val="24"/>
        </w:rPr>
        <w:t xml:space="preserve">Public Administration </w:t>
      </w:r>
      <w:r w:rsidRPr="00AB5603">
        <w:rPr>
          <w:sz w:val="24"/>
          <w:szCs w:val="24"/>
        </w:rPr>
        <w:t>sector for 201</w:t>
      </w:r>
      <w:r w:rsidR="009E37C9">
        <w:rPr>
          <w:sz w:val="24"/>
          <w:szCs w:val="24"/>
        </w:rPr>
        <w:t>5</w:t>
      </w:r>
      <w:r w:rsidRPr="00AB5603">
        <w:rPr>
          <w:sz w:val="24"/>
          <w:szCs w:val="24"/>
        </w:rPr>
        <w:t xml:space="preserve"> are shown below.</w:t>
      </w:r>
    </w:p>
    <w:tbl>
      <w:tblPr>
        <w:tblW w:w="8964" w:type="dxa"/>
        <w:tblLook w:val="04A0" w:firstRow="1" w:lastRow="0" w:firstColumn="1" w:lastColumn="0" w:noHBand="0" w:noVBand="1"/>
      </w:tblPr>
      <w:tblGrid>
        <w:gridCol w:w="6294"/>
        <w:gridCol w:w="1861"/>
        <w:gridCol w:w="809"/>
      </w:tblGrid>
      <w:tr w:rsidR="00C70A21" w:rsidRPr="006719D3" w14:paraId="60F32768" w14:textId="77777777" w:rsidTr="008C2135">
        <w:trPr>
          <w:trHeight w:val="1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F7F7F" w:themeFill="text1" w:themeFillTint="80"/>
            <w:noWrap/>
            <w:vAlign w:val="center"/>
            <w:hideMark/>
          </w:tcPr>
          <w:p w14:paraId="3D504E45" w14:textId="77777777" w:rsidR="00C70A21" w:rsidRPr="006719D3" w:rsidRDefault="00C70A21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719D3">
              <w:rPr>
                <w:rFonts w:ascii="Calibri" w:eastAsia="Times New Roman" w:hAnsi="Calibri" w:cs="Times New Roman"/>
                <w:b/>
                <w:bCs/>
              </w:rPr>
              <w:t>Accident Trigger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14:paraId="4CD78D80" w14:textId="77777777" w:rsidR="00C70A21" w:rsidRPr="006719D3" w:rsidRDefault="00C70A21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719D3">
              <w:rPr>
                <w:rFonts w:ascii="Calibri" w:eastAsia="Times New Roman" w:hAnsi="Calibri" w:cs="Times New Roman"/>
                <w:b/>
                <w:bCs/>
              </w:rPr>
              <w:t>No. of Incidents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45C3894" w14:textId="77777777" w:rsidR="00C70A21" w:rsidRPr="006719D3" w:rsidRDefault="00C70A21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719D3">
              <w:rPr>
                <w:rFonts w:ascii="Calibri" w:eastAsia="Times New Roman" w:hAnsi="Calibri" w:cs="Times New Roman"/>
                <w:b/>
                <w:bCs/>
              </w:rPr>
              <w:t>%</w:t>
            </w:r>
          </w:p>
        </w:tc>
      </w:tr>
      <w:tr w:rsidR="00C70A21" w:rsidRPr="006719D3" w14:paraId="1028A271" w14:textId="77777777" w:rsidTr="008C2135">
        <w:trPr>
          <w:trHeight w:val="1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  <w:hideMark/>
          </w:tcPr>
          <w:p w14:paraId="6B3BAFF9" w14:textId="77777777" w:rsidR="00C70A21" w:rsidRPr="006719D3" w:rsidRDefault="00C70A21" w:rsidP="008C2135">
            <w:pPr>
              <w:rPr>
                <w:rFonts w:ascii="Calibri" w:eastAsia="Times New Roman" w:hAnsi="Calibri" w:cs="Times New Roman"/>
                <w:color w:val="FFFFFF" w:themeColor="background1"/>
                <w:vertAlign w:val="subscript"/>
              </w:rPr>
            </w:pPr>
            <w:r w:rsidRPr="006719D3">
              <w:rPr>
                <w:rFonts w:ascii="Calibri" w:hAnsi="Calibri"/>
                <w:color w:val="FFFFFF" w:themeColor="background1"/>
              </w:rPr>
              <w:t>Manual Handling</w:t>
            </w:r>
            <w:r w:rsidRPr="006719D3">
              <w:rPr>
                <w:rFonts w:ascii="Calibri" w:hAnsi="Calibri"/>
                <w:color w:val="FFFFFF" w:themeColor="background1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D293" w14:textId="7238E44B" w:rsidR="00C70A21" w:rsidRPr="006719D3" w:rsidRDefault="007F0129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9A1" w14:textId="5710397D" w:rsidR="00C70A21" w:rsidRPr="006719D3" w:rsidRDefault="00C70A21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7F0129">
              <w:rPr>
                <w:rFonts w:ascii="Calibri" w:eastAsia="Times New Roman" w:hAnsi="Calibri" w:cs="Times New Roman"/>
              </w:rPr>
              <w:t>1.6</w:t>
            </w:r>
          </w:p>
        </w:tc>
      </w:tr>
      <w:tr w:rsidR="00C70A21" w:rsidRPr="006719D3" w14:paraId="3085A1BD" w14:textId="77777777" w:rsidTr="008C2135">
        <w:trPr>
          <w:trHeight w:val="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  <w:hideMark/>
          </w:tcPr>
          <w:p w14:paraId="01EC9170" w14:textId="77777777" w:rsidR="00C70A21" w:rsidRPr="006719D3" w:rsidRDefault="00C70A21" w:rsidP="008C2135">
            <w:pPr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6719D3">
              <w:rPr>
                <w:rFonts w:ascii="Calibri" w:hAnsi="Calibri"/>
                <w:color w:val="FFFFFF" w:themeColor="background1"/>
              </w:rPr>
              <w:t>Fall on same level (slip, stumble etc)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14A1" w14:textId="6625DDBD" w:rsidR="00C70A21" w:rsidRPr="006719D3" w:rsidRDefault="00C70A21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7F0129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655E" w14:textId="21F0709F" w:rsidR="00C70A21" w:rsidRPr="006719D3" w:rsidRDefault="00C70A21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7F0129">
              <w:rPr>
                <w:rFonts w:ascii="Calibri" w:eastAsia="Times New Roman" w:hAnsi="Calibri" w:cs="Times New Roman"/>
              </w:rPr>
              <w:t>6</w:t>
            </w:r>
            <w:r>
              <w:rPr>
                <w:rFonts w:ascii="Calibri" w:eastAsia="Times New Roman" w:hAnsi="Calibri" w:cs="Times New Roman"/>
              </w:rPr>
              <w:t>.4</w:t>
            </w:r>
          </w:p>
        </w:tc>
      </w:tr>
      <w:tr w:rsidR="005E1A46" w:rsidRPr="006719D3" w14:paraId="10D5FAFA" w14:textId="77777777" w:rsidTr="008C2135">
        <w:trPr>
          <w:trHeight w:val="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522BEC05" w14:textId="0A35C793" w:rsidR="005E1A46" w:rsidRPr="006719D3" w:rsidRDefault="005E1A46" w:rsidP="008C2135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Aggression, s</w:t>
            </w:r>
            <w:r w:rsidRPr="006719D3">
              <w:rPr>
                <w:rFonts w:ascii="Calibri" w:hAnsi="Calibri"/>
                <w:color w:val="FFFFFF" w:themeColor="background1"/>
              </w:rPr>
              <w:t>hock, fright</w:t>
            </w:r>
            <w:r>
              <w:rPr>
                <w:rFonts w:ascii="Calibri" w:hAnsi="Calibri"/>
                <w:color w:val="FFFFFF" w:themeColor="background1"/>
              </w:rPr>
              <w:t xml:space="preserve"> or violence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628A" w14:textId="4C35F82A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4975" w14:textId="4D7E5214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12.2</w:t>
            </w:r>
          </w:p>
        </w:tc>
      </w:tr>
      <w:tr w:rsidR="005E1A46" w14:paraId="199AF1F1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119A9A4B" w14:textId="77777777" w:rsidR="005E1A46" w:rsidRDefault="005E1A46" w:rsidP="008C2135">
            <w:pPr>
              <w:rPr>
                <w:rFonts w:ascii="Calibri" w:hAnsi="Calibri"/>
                <w:color w:val="FFFFFF" w:themeColor="background1"/>
              </w:rPr>
            </w:pPr>
            <w:r w:rsidRPr="006719D3">
              <w:rPr>
                <w:rFonts w:ascii="Calibri" w:hAnsi="Calibri"/>
                <w:color w:val="FFFFFF" w:themeColor="background1"/>
              </w:rPr>
              <w:t>Loss of control of means of transport or handling 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DF6C" w14:textId="139E6B6F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2A91" w14:textId="2959FF66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9.5</w:t>
            </w:r>
          </w:p>
        </w:tc>
      </w:tr>
      <w:tr w:rsidR="005E1A46" w14:paraId="40807584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6840684A" w14:textId="4D2D85C4" w:rsidR="005E1A46" w:rsidRDefault="005E1A46" w:rsidP="008C2135">
            <w:pPr>
              <w:rPr>
                <w:rFonts w:ascii="Calibri" w:hAnsi="Calibri"/>
                <w:color w:val="FFFFFF" w:themeColor="background1"/>
              </w:rPr>
            </w:pPr>
            <w:r w:rsidRPr="006719D3">
              <w:rPr>
                <w:rFonts w:ascii="Calibri" w:hAnsi="Calibri"/>
                <w:color w:val="FFFFFF" w:themeColor="background1"/>
              </w:rPr>
              <w:t>Body movement (no physical stress)</w:t>
            </w:r>
            <w:r>
              <w:rPr>
                <w:rFonts w:ascii="Calibri" w:hAnsi="Calibri"/>
                <w:color w:val="FFFFFF" w:themeColor="background1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D280" w14:textId="66718D90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3665" w14:textId="2D50B397" w:rsidR="005E1A46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3.4</w:t>
            </w:r>
          </w:p>
        </w:tc>
      </w:tr>
      <w:tr w:rsidR="005E1A46" w:rsidRPr="006719D3" w14:paraId="121F9773" w14:textId="77777777" w:rsidTr="005E1A46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1B2924F8" w14:textId="1E409323" w:rsidR="005E1A46" w:rsidRPr="006719D3" w:rsidRDefault="005E1A46" w:rsidP="008C2135">
            <w:pPr>
              <w:rPr>
                <w:rFonts w:ascii="Calibri" w:eastAsia="Times New Roman" w:hAnsi="Calibri" w:cs="Times New Roman"/>
                <w:color w:val="FFFFFF" w:themeColor="background1"/>
              </w:rPr>
            </w:pPr>
            <w:r w:rsidRPr="006719D3">
              <w:rPr>
                <w:rFonts w:ascii="Calibri" w:hAnsi="Calibri"/>
                <w:color w:val="FFFFFF" w:themeColor="background1"/>
              </w:rPr>
              <w:t>Fall from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F3AC" w14:textId="2E596F4C" w:rsidR="005E1A46" w:rsidRPr="006719D3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BC16" w14:textId="380F7853" w:rsidR="005E1A46" w:rsidRPr="006719D3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3.2</w:t>
            </w:r>
          </w:p>
        </w:tc>
      </w:tr>
      <w:tr w:rsidR="005E1A46" w14:paraId="329F9408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6101C934" w14:textId="77777777" w:rsidR="005E1A46" w:rsidRPr="006719D3" w:rsidRDefault="005E1A46" w:rsidP="008C2135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Other loss of control trigger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319" w14:textId="3B7EFD6F" w:rsidR="005E1A46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8C70" w14:textId="7E96959A" w:rsidR="005E1A46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2.9</w:t>
            </w:r>
          </w:p>
        </w:tc>
      </w:tr>
      <w:tr w:rsidR="005E1A46" w:rsidRPr="006719D3" w14:paraId="766C063C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4D564C85" w14:textId="77777777" w:rsidR="005E1A46" w:rsidRPr="006719D3" w:rsidRDefault="005E1A46" w:rsidP="008C2135">
            <w:pPr>
              <w:rPr>
                <w:rFonts w:ascii="Calibri" w:eastAsia="Times New Roman" w:hAnsi="Calibri" w:cs="Times New Roman"/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</w:rPr>
              <w:t>Breakage of material at joints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66EF" w14:textId="153AA2DD" w:rsidR="005E1A46" w:rsidRPr="006719D3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7F6A" w14:textId="4708FD7A" w:rsidR="005E1A46" w:rsidRPr="006719D3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2.0</w:t>
            </w:r>
          </w:p>
        </w:tc>
      </w:tr>
      <w:tr w:rsidR="005E1A46" w:rsidRPr="006719D3" w14:paraId="74755DCD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29381ED0" w14:textId="77777777" w:rsidR="005E1A46" w:rsidRPr="006719D3" w:rsidRDefault="005E1A46" w:rsidP="008C2135">
            <w:pPr>
              <w:rPr>
                <w:rFonts w:ascii="Calibri" w:eastAsia="Times New Roman" w:hAnsi="Calibri" w:cs="Times New Roman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Overflow, leakage, emission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E482" w14:textId="42C9D899" w:rsidR="005E1A46" w:rsidRPr="006719D3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2BFD" w14:textId="632BA8D2" w:rsidR="005E1A46" w:rsidRPr="006719D3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1.3</w:t>
            </w:r>
          </w:p>
        </w:tc>
      </w:tr>
      <w:tr w:rsidR="005E1A46" w:rsidRPr="006719D3" w14:paraId="716DA717" w14:textId="77777777" w:rsidTr="008C2135">
        <w:trPr>
          <w:trHeight w:val="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  <w:noWrap/>
            <w:vAlign w:val="center"/>
          </w:tcPr>
          <w:p w14:paraId="559C79F5" w14:textId="77777777" w:rsidR="005E1A46" w:rsidRDefault="005E1A46" w:rsidP="008C2135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Other/Unknown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88D6" w14:textId="395F0D9F" w:rsidR="005E1A46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7BF7" w14:textId="3C36DECF" w:rsidR="005E1A46" w:rsidRPr="006719D3" w:rsidRDefault="005E1A46" w:rsidP="005E1A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27.5</w:t>
            </w:r>
          </w:p>
        </w:tc>
      </w:tr>
      <w:tr w:rsidR="005E1A46" w:rsidRPr="006719D3" w14:paraId="03FCA086" w14:textId="77777777" w:rsidTr="008C2135">
        <w:trPr>
          <w:trHeight w:val="4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6B020EF" w14:textId="77777777" w:rsidR="005E1A46" w:rsidRPr="006719D3" w:rsidRDefault="005E1A46" w:rsidP="008C21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719D3">
              <w:rPr>
                <w:rFonts w:ascii="Calibri" w:eastAsia="Times New Roman" w:hAnsi="Calibri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22CC" w14:textId="6144BB2A" w:rsidR="005E1A46" w:rsidRPr="00DF317F" w:rsidRDefault="005E1A46" w:rsidP="007F01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vertAlign w:val="superscript"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944</w:t>
            </w:r>
            <w:r>
              <w:rPr>
                <w:rFonts w:ascii="Calibri" w:eastAsia="Times New Roman" w:hAnsi="Calibri" w:cs="Times New Roman"/>
                <w:b/>
                <w:bCs/>
                <w:vertAlign w:val="superscript"/>
              </w:rPr>
              <w:t>^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F23B" w14:textId="77777777" w:rsidR="005E1A46" w:rsidRPr="006719D3" w:rsidRDefault="005E1A46" w:rsidP="008C21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100.0</w:t>
            </w:r>
          </w:p>
        </w:tc>
      </w:tr>
    </w:tbl>
    <w:p w14:paraId="05FDB038" w14:textId="77777777" w:rsidR="006719D3" w:rsidRPr="006719D3" w:rsidRDefault="006719D3" w:rsidP="006719D3"/>
    <w:p w14:paraId="1779CBBD" w14:textId="77777777" w:rsidR="006015A9" w:rsidRDefault="006015A9" w:rsidP="006015A9">
      <w:pPr>
        <w:rPr>
          <w:sz w:val="24"/>
          <w:szCs w:val="24"/>
        </w:rPr>
      </w:pPr>
      <w:r w:rsidRPr="006719D3">
        <w:rPr>
          <w:b/>
          <w:sz w:val="24"/>
          <w:szCs w:val="24"/>
          <w:vertAlign w:val="superscript"/>
        </w:rPr>
        <w:t>+</w:t>
      </w:r>
      <w:r w:rsidRPr="006719D3">
        <w:rPr>
          <w:sz w:val="24"/>
          <w:szCs w:val="24"/>
        </w:rPr>
        <w:t>Manual Handling consists of incidents where the trigger was bending down, lifting, carrying, pushing, pulling, twisting leg or ankle, twisting or turning.</w:t>
      </w:r>
    </w:p>
    <w:p w14:paraId="7DAE8F48" w14:textId="6F29ED95" w:rsidR="00DF317F" w:rsidRDefault="006719D3" w:rsidP="006719D3">
      <w:pPr>
        <w:rPr>
          <w:sz w:val="24"/>
          <w:szCs w:val="24"/>
        </w:rPr>
      </w:pPr>
      <w:r w:rsidRPr="006719D3">
        <w:rPr>
          <w:b/>
          <w:sz w:val="24"/>
          <w:szCs w:val="24"/>
        </w:rPr>
        <w:t>*</w:t>
      </w:r>
      <w:r w:rsidR="00AB5603">
        <w:rPr>
          <w:sz w:val="24"/>
          <w:szCs w:val="24"/>
        </w:rPr>
        <w:t>The category Body M</w:t>
      </w:r>
      <w:r w:rsidRPr="006719D3">
        <w:rPr>
          <w:sz w:val="24"/>
          <w:szCs w:val="24"/>
        </w:rPr>
        <w:t>ovement (no physical stress) consists of</w:t>
      </w:r>
      <w:r w:rsidR="00550325">
        <w:rPr>
          <w:sz w:val="24"/>
          <w:szCs w:val="24"/>
        </w:rPr>
        <w:t xml:space="preserve"> incidents where the trigger to the incident includes body movement involving </w:t>
      </w:r>
      <w:r w:rsidRPr="006719D3">
        <w:rPr>
          <w:sz w:val="24"/>
          <w:szCs w:val="24"/>
        </w:rPr>
        <w:t xml:space="preserve">kneeling </w:t>
      </w:r>
      <w:r w:rsidR="00164E82">
        <w:rPr>
          <w:sz w:val="24"/>
          <w:szCs w:val="24"/>
        </w:rPr>
        <w:t>on, sitting on, leaning against;</w:t>
      </w:r>
      <w:r w:rsidRPr="006719D3">
        <w:rPr>
          <w:sz w:val="24"/>
          <w:szCs w:val="24"/>
        </w:rPr>
        <w:t xml:space="preserve"> uncoordinated or untimely movements</w:t>
      </w:r>
      <w:r w:rsidR="00164E82">
        <w:rPr>
          <w:sz w:val="24"/>
          <w:szCs w:val="24"/>
        </w:rPr>
        <w:t>;</w:t>
      </w:r>
      <w:r w:rsidRPr="006719D3">
        <w:rPr>
          <w:sz w:val="24"/>
          <w:szCs w:val="24"/>
        </w:rPr>
        <w:t xml:space="preserve"> </w:t>
      </w:r>
      <w:r w:rsidR="00164E82" w:rsidRPr="006719D3">
        <w:rPr>
          <w:sz w:val="24"/>
          <w:szCs w:val="24"/>
        </w:rPr>
        <w:t xml:space="preserve">carried along by something </w:t>
      </w:r>
      <w:r w:rsidRPr="006719D3">
        <w:rPr>
          <w:sz w:val="24"/>
          <w:szCs w:val="24"/>
        </w:rPr>
        <w:t>or walking on sharp object(s).</w:t>
      </w:r>
    </w:p>
    <w:p w14:paraId="05FDB03C" w14:textId="52A62C8F" w:rsidR="003041E5" w:rsidRDefault="00DF317F" w:rsidP="006719D3">
      <w:pPr>
        <w:rPr>
          <w:sz w:val="24"/>
          <w:szCs w:val="24"/>
        </w:rPr>
      </w:pPr>
      <w:r>
        <w:rPr>
          <w:sz w:val="24"/>
          <w:szCs w:val="24"/>
        </w:rPr>
        <w:t>^Variation in total number of accidents recorded</w:t>
      </w:r>
      <w:r w:rsidR="00D37B08">
        <w:rPr>
          <w:sz w:val="24"/>
          <w:szCs w:val="24"/>
        </w:rPr>
        <w:t xml:space="preserve"> (</w:t>
      </w:r>
      <w:r w:rsidR="009E37C9">
        <w:rPr>
          <w:sz w:val="24"/>
          <w:szCs w:val="24"/>
        </w:rPr>
        <w:t>944</w:t>
      </w:r>
      <w:r w:rsidR="00D37B08">
        <w:rPr>
          <w:sz w:val="24"/>
          <w:szCs w:val="24"/>
        </w:rPr>
        <w:t xml:space="preserve"> –V- </w:t>
      </w:r>
      <w:r w:rsidR="009E37C9">
        <w:rPr>
          <w:sz w:val="24"/>
          <w:szCs w:val="24"/>
        </w:rPr>
        <w:t>902</w:t>
      </w:r>
      <w:r w:rsidR="00D37B08">
        <w:rPr>
          <w:sz w:val="24"/>
          <w:szCs w:val="24"/>
        </w:rPr>
        <w:t>)</w:t>
      </w:r>
      <w:r>
        <w:rPr>
          <w:sz w:val="24"/>
          <w:szCs w:val="24"/>
        </w:rPr>
        <w:t>, due to date of running report</w:t>
      </w:r>
      <w:r w:rsidR="00AB5603">
        <w:rPr>
          <w:sz w:val="24"/>
          <w:szCs w:val="24"/>
        </w:rPr>
        <w:t>.</w:t>
      </w:r>
    </w:p>
    <w:p w14:paraId="2BC96856" w14:textId="77777777" w:rsidR="00C70A21" w:rsidRDefault="00C70A21" w:rsidP="006719D3">
      <w:pPr>
        <w:rPr>
          <w:sz w:val="24"/>
          <w:szCs w:val="24"/>
        </w:rPr>
        <w:sectPr w:rsidR="00C70A21" w:rsidSect="00C70A21">
          <w:pgSz w:w="12240" w:h="15840"/>
          <w:pgMar w:top="1440" w:right="1440" w:bottom="1440" w:left="1135" w:header="708" w:footer="708" w:gutter="0"/>
          <w:cols w:space="708"/>
          <w:docGrid w:linePitch="360"/>
        </w:sectPr>
      </w:pPr>
    </w:p>
    <w:p w14:paraId="15E1F06F" w14:textId="4AD69EA1" w:rsidR="002A7AA5" w:rsidRPr="00AB5603" w:rsidRDefault="002A7AA5" w:rsidP="006719D3">
      <w:pPr>
        <w:rPr>
          <w:sz w:val="24"/>
          <w:szCs w:val="24"/>
        </w:rPr>
      </w:pPr>
      <w:r w:rsidRPr="00AB5603">
        <w:rPr>
          <w:b/>
          <w:sz w:val="24"/>
          <w:szCs w:val="24"/>
        </w:rPr>
        <w:lastRenderedPageBreak/>
        <w:t>Number and</w:t>
      </w:r>
      <w:r w:rsidR="003620F2">
        <w:rPr>
          <w:b/>
          <w:sz w:val="24"/>
          <w:szCs w:val="24"/>
        </w:rPr>
        <w:t xml:space="preserve"> rate of total illnesses in Public A</w:t>
      </w:r>
      <w:r w:rsidR="00796503" w:rsidRPr="00AB5603">
        <w:rPr>
          <w:b/>
          <w:sz w:val="24"/>
          <w:szCs w:val="24"/>
        </w:rPr>
        <w:t xml:space="preserve">dministration </w:t>
      </w:r>
      <w:r w:rsidR="003620F2">
        <w:rPr>
          <w:b/>
          <w:sz w:val="24"/>
          <w:szCs w:val="24"/>
        </w:rPr>
        <w:t>and Defence (NACE O)</w:t>
      </w:r>
      <w:r w:rsidRPr="00AB5603">
        <w:rPr>
          <w:b/>
          <w:sz w:val="24"/>
          <w:szCs w:val="24"/>
        </w:rPr>
        <w:t xml:space="preserve"> relative to the number and rate of total illn</w:t>
      </w:r>
      <w:r w:rsidR="006E319F" w:rsidRPr="00AB5603">
        <w:rPr>
          <w:b/>
          <w:sz w:val="24"/>
          <w:szCs w:val="24"/>
        </w:rPr>
        <w:t>esses in all sectors 20</w:t>
      </w:r>
      <w:r w:rsidR="00796503" w:rsidRPr="00AB5603">
        <w:rPr>
          <w:b/>
          <w:sz w:val="24"/>
          <w:szCs w:val="24"/>
        </w:rPr>
        <w:t>10</w:t>
      </w:r>
      <w:r w:rsidR="00F00381" w:rsidRPr="00AB5603">
        <w:rPr>
          <w:b/>
          <w:sz w:val="24"/>
          <w:szCs w:val="24"/>
        </w:rPr>
        <w:t xml:space="preserve"> - 201</w:t>
      </w:r>
      <w:r w:rsidR="005B0384">
        <w:rPr>
          <w:b/>
          <w:sz w:val="24"/>
          <w:szCs w:val="24"/>
        </w:rPr>
        <w:t>4</w:t>
      </w:r>
    </w:p>
    <w:p w14:paraId="05FDB03E" w14:textId="6E17CD5B" w:rsidR="003041E5" w:rsidRDefault="00F00381" w:rsidP="006719D3">
      <w:pPr>
        <w:rPr>
          <w:sz w:val="24"/>
          <w:szCs w:val="24"/>
        </w:rPr>
      </w:pPr>
      <w:r w:rsidRPr="00AB5603">
        <w:rPr>
          <w:sz w:val="24"/>
          <w:szCs w:val="24"/>
        </w:rPr>
        <w:t>In 201</w:t>
      </w:r>
      <w:r w:rsidR="005B0384">
        <w:rPr>
          <w:sz w:val="24"/>
          <w:szCs w:val="24"/>
        </w:rPr>
        <w:t>4</w:t>
      </w:r>
      <w:r w:rsidR="003041E5" w:rsidRPr="00AB5603">
        <w:rPr>
          <w:sz w:val="24"/>
          <w:szCs w:val="24"/>
        </w:rPr>
        <w:t xml:space="preserve">, the illness rate </w:t>
      </w:r>
      <w:r w:rsidRPr="00AB5603">
        <w:rPr>
          <w:sz w:val="24"/>
          <w:szCs w:val="24"/>
        </w:rPr>
        <w:t xml:space="preserve">(rate per 1,000) </w:t>
      </w:r>
      <w:r w:rsidR="003041E5" w:rsidRPr="00AB5603">
        <w:rPr>
          <w:sz w:val="24"/>
          <w:szCs w:val="24"/>
        </w:rPr>
        <w:t>recorded by the C</w:t>
      </w:r>
      <w:r w:rsidR="003620F2">
        <w:rPr>
          <w:sz w:val="24"/>
          <w:szCs w:val="24"/>
        </w:rPr>
        <w:t>entral Statistics Office for</w:t>
      </w:r>
      <w:r w:rsidR="003041E5" w:rsidRPr="00AB5603">
        <w:rPr>
          <w:sz w:val="24"/>
          <w:szCs w:val="24"/>
        </w:rPr>
        <w:t xml:space="preserve"> </w:t>
      </w:r>
      <w:r w:rsidR="00796503" w:rsidRPr="00AB5603">
        <w:rPr>
          <w:sz w:val="24"/>
          <w:szCs w:val="24"/>
        </w:rPr>
        <w:t xml:space="preserve">Public Administration </w:t>
      </w:r>
      <w:r w:rsidR="003620F2">
        <w:rPr>
          <w:sz w:val="24"/>
          <w:szCs w:val="24"/>
        </w:rPr>
        <w:t xml:space="preserve">and </w:t>
      </w:r>
      <w:proofErr w:type="spellStart"/>
      <w:r w:rsidR="003620F2">
        <w:rPr>
          <w:sz w:val="24"/>
          <w:szCs w:val="24"/>
        </w:rPr>
        <w:t>Defence</w:t>
      </w:r>
      <w:proofErr w:type="spellEnd"/>
      <w:r w:rsidR="00B114E2">
        <w:rPr>
          <w:sz w:val="24"/>
          <w:szCs w:val="24"/>
        </w:rPr>
        <w:t>,</w:t>
      </w:r>
      <w:r w:rsidRPr="00AB5603">
        <w:rPr>
          <w:sz w:val="24"/>
          <w:szCs w:val="24"/>
        </w:rPr>
        <w:t xml:space="preserve"> </w:t>
      </w:r>
      <w:r w:rsidR="003041E5" w:rsidRPr="00AB5603">
        <w:rPr>
          <w:sz w:val="24"/>
          <w:szCs w:val="24"/>
        </w:rPr>
        <w:t>was</w:t>
      </w:r>
      <w:r w:rsidR="006E319F" w:rsidRPr="00AB5603">
        <w:rPr>
          <w:sz w:val="24"/>
          <w:szCs w:val="24"/>
        </w:rPr>
        <w:t xml:space="preserve"> </w:t>
      </w:r>
      <w:r w:rsidR="005B0384">
        <w:rPr>
          <w:sz w:val="24"/>
          <w:szCs w:val="24"/>
        </w:rPr>
        <w:t>3</w:t>
      </w:r>
      <w:r w:rsidR="00796503" w:rsidRPr="00AB5603">
        <w:rPr>
          <w:sz w:val="24"/>
          <w:szCs w:val="24"/>
        </w:rPr>
        <w:t>3</w:t>
      </w:r>
      <w:r w:rsidR="00245677" w:rsidRPr="00AB5603">
        <w:rPr>
          <w:sz w:val="24"/>
          <w:szCs w:val="24"/>
        </w:rPr>
        <w:t xml:space="preserve">. This </w:t>
      </w:r>
      <w:r w:rsidRPr="00AB5603">
        <w:rPr>
          <w:sz w:val="24"/>
          <w:szCs w:val="24"/>
        </w:rPr>
        <w:t xml:space="preserve">is </w:t>
      </w:r>
      <w:r w:rsidR="005B0384">
        <w:rPr>
          <w:sz w:val="24"/>
          <w:szCs w:val="24"/>
        </w:rPr>
        <w:t xml:space="preserve">higher </w:t>
      </w:r>
      <w:r w:rsidRPr="00AB5603">
        <w:rPr>
          <w:sz w:val="24"/>
          <w:szCs w:val="24"/>
        </w:rPr>
        <w:t xml:space="preserve">than the rate for all sectors which was </w:t>
      </w:r>
      <w:r w:rsidR="00B114E2">
        <w:rPr>
          <w:sz w:val="24"/>
          <w:szCs w:val="24"/>
        </w:rPr>
        <w:t>2</w:t>
      </w:r>
      <w:r w:rsidR="005B0384">
        <w:rPr>
          <w:sz w:val="24"/>
          <w:szCs w:val="24"/>
        </w:rPr>
        <w:t>5.7</w:t>
      </w:r>
    </w:p>
    <w:tbl>
      <w:tblPr>
        <w:tblW w:w="0" w:type="auto"/>
        <w:tblInd w:w="-705" w:type="dxa"/>
        <w:tblLook w:val="04A0" w:firstRow="1" w:lastRow="0" w:firstColumn="1" w:lastColumn="0" w:noHBand="0" w:noVBand="1"/>
      </w:tblPr>
      <w:tblGrid>
        <w:gridCol w:w="1991"/>
        <w:gridCol w:w="1204"/>
        <w:gridCol w:w="1204"/>
        <w:gridCol w:w="1168"/>
        <w:gridCol w:w="1204"/>
        <w:gridCol w:w="1152"/>
        <w:gridCol w:w="1204"/>
        <w:gridCol w:w="1142"/>
        <w:gridCol w:w="1204"/>
        <w:gridCol w:w="1204"/>
        <w:gridCol w:w="1204"/>
      </w:tblGrid>
      <w:tr w:rsidR="005B0384" w:rsidRPr="008812A1" w14:paraId="4D589004" w14:textId="6E1759C5" w:rsidTr="00E161BA">
        <w:trPr>
          <w:trHeight w:val="315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5A9E"/>
            <w:noWrap/>
            <w:vAlign w:val="bottom"/>
            <w:hideMark/>
          </w:tcPr>
          <w:p w14:paraId="7C522F6E" w14:textId="77777777" w:rsidR="005B0384" w:rsidRPr="008812A1" w:rsidRDefault="005B0384" w:rsidP="008C213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12A1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005A9E"/>
            <w:noWrap/>
            <w:vAlign w:val="center"/>
            <w:hideMark/>
          </w:tcPr>
          <w:p w14:paraId="2EFDD4EC" w14:textId="77777777" w:rsidR="005B0384" w:rsidRPr="008812A1" w:rsidRDefault="005B0384" w:rsidP="008C2135">
            <w:pPr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>2010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5A9E"/>
          </w:tcPr>
          <w:p w14:paraId="5ADE1EF3" w14:textId="77777777" w:rsidR="005B0384" w:rsidRPr="008812A1" w:rsidRDefault="005B0384" w:rsidP="008C2135">
            <w:pPr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>2011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1656397B" w14:textId="77777777" w:rsidR="005B0384" w:rsidRPr="008812A1" w:rsidRDefault="005B0384" w:rsidP="008C2135">
            <w:pPr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>2012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04E7D810" w14:textId="77777777" w:rsidR="005B0384" w:rsidRPr="008812A1" w:rsidRDefault="005B0384" w:rsidP="008C2135">
            <w:pPr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E"/>
          </w:tcPr>
          <w:p w14:paraId="10DBDB26" w14:textId="64E001BC" w:rsidR="005B0384" w:rsidRDefault="005B0384" w:rsidP="008C2135">
            <w:pPr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>2014</w:t>
            </w:r>
          </w:p>
        </w:tc>
      </w:tr>
      <w:tr w:rsidR="005B0384" w:rsidRPr="008812A1" w14:paraId="27376922" w14:textId="5D72E897" w:rsidTr="00527643">
        <w:trPr>
          <w:trHeight w:val="600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5A9E"/>
            <w:vAlign w:val="bottom"/>
            <w:hideMark/>
          </w:tcPr>
          <w:p w14:paraId="5999B7C1" w14:textId="77777777" w:rsidR="005B0384" w:rsidRPr="008812A1" w:rsidRDefault="005B0384" w:rsidP="008C21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12A1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35A964EA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Number illnesses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3E913CF9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64DCFFBC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Number illnesses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0D4BC2FD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2E8428C5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Number illnesses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1F1CE4A3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327BF73D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Number illnesses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58C8B793" w14:textId="77777777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Rate per 1000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01E413F5" w14:textId="38EB8828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Number illnesses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1C51D401" w14:textId="3ED34192" w:rsidR="005B0384" w:rsidRPr="008812A1" w:rsidRDefault="005B0384" w:rsidP="008C2135">
            <w:pPr>
              <w:jc w:val="center"/>
              <w:rPr>
                <w:rFonts w:cstheme="minorHAnsi"/>
                <w:color w:val="FFFFFF"/>
                <w:sz w:val="20"/>
                <w:szCs w:val="20"/>
              </w:rPr>
            </w:pPr>
            <w:r w:rsidRPr="008812A1">
              <w:rPr>
                <w:rFonts w:cstheme="minorHAnsi"/>
                <w:color w:val="FFFFFF"/>
                <w:sz w:val="20"/>
                <w:szCs w:val="20"/>
              </w:rPr>
              <w:t>Rate per 1000</w:t>
            </w:r>
          </w:p>
        </w:tc>
      </w:tr>
      <w:tr w:rsidR="005B0384" w:rsidRPr="008812A1" w14:paraId="4C04A84C" w14:textId="0A3EFA77" w:rsidTr="005B0384">
        <w:trPr>
          <w:trHeight w:val="1174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7F7F7F"/>
            <w:vAlign w:val="center"/>
            <w:hideMark/>
          </w:tcPr>
          <w:p w14:paraId="13C8F1F4" w14:textId="77777777" w:rsidR="005B0384" w:rsidRPr="008812A1" w:rsidRDefault="005B0384" w:rsidP="008C213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Public Administration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056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3,946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DB7B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BDC5EB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5E8B3F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4,163</w:t>
            </w:r>
          </w:p>
          <w:p w14:paraId="6410BAED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DFFFD2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660071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2BD122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02D646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2,413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31BDD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B0BE5B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812A1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83976D" w14:textId="77777777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551FCB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2,193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B17781" w14:textId="77777777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74251A7" w14:textId="77777777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23</w:t>
            </w:r>
          </w:p>
          <w:p w14:paraId="36433994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874C1D" w14:textId="77777777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EEEFA1" w14:textId="51A9B8B3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3,183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7FD8B6" w14:textId="77777777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1B6160" w14:textId="771F8B28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</w:t>
            </w:r>
          </w:p>
        </w:tc>
      </w:tr>
      <w:tr w:rsidR="005B0384" w:rsidRPr="008812A1" w14:paraId="03607181" w14:textId="0E7377EB" w:rsidTr="005B0384">
        <w:trPr>
          <w:trHeight w:val="315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14:paraId="69B95B07" w14:textId="77777777" w:rsidR="005B0384" w:rsidRPr="008812A1" w:rsidRDefault="005B0384" w:rsidP="008C2135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8812A1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All sectors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93D" w14:textId="04B978D6" w:rsidR="005B0384" w:rsidRPr="008812A1" w:rsidRDefault="005B0384" w:rsidP="005B0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38,704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90DC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812A1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6F99A" w14:textId="59D3BD29" w:rsidR="005B0384" w:rsidRPr="008812A1" w:rsidRDefault="005B0384" w:rsidP="005B0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48,436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24CD5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A5096" w14:textId="165B9848" w:rsidR="005B0384" w:rsidRPr="008812A1" w:rsidRDefault="005B0384" w:rsidP="005B0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50,210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24FBA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812A1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9661D" w14:textId="3C006EE6" w:rsidR="005B0384" w:rsidRPr="008812A1" w:rsidRDefault="005B0384" w:rsidP="005B0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54,867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F54AD" w14:textId="77777777" w:rsidR="005B0384" w:rsidRPr="008812A1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15D91" w14:textId="102A7F76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49,194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C3641" w14:textId="496883FE" w:rsidR="005B0384" w:rsidRDefault="005B0384" w:rsidP="008C213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25.7</w:t>
            </w:r>
          </w:p>
        </w:tc>
      </w:tr>
    </w:tbl>
    <w:p w14:paraId="05FDB076" w14:textId="77777777" w:rsidR="006719D3" w:rsidRDefault="000D6608" w:rsidP="000F4ACE">
      <w:r w:rsidRPr="00080259">
        <w:rPr>
          <w:b/>
        </w:rPr>
        <w:t>Source:</w:t>
      </w:r>
      <w:r>
        <w:t xml:space="preserve"> CSO Quarterly National Household Surveys. These are sample surveys and accordingly the data are estimates and liable to sampling error.</w:t>
      </w:r>
    </w:p>
    <w:sectPr w:rsidR="006719D3" w:rsidSect="00C70A21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B1A68"/>
    <w:multiLevelType w:val="hybridMultilevel"/>
    <w:tmpl w:val="991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6F"/>
    <w:rsid w:val="0000151B"/>
    <w:rsid w:val="00014DF8"/>
    <w:rsid w:val="00050F69"/>
    <w:rsid w:val="00055828"/>
    <w:rsid w:val="00080259"/>
    <w:rsid w:val="000A382B"/>
    <w:rsid w:val="000B29E8"/>
    <w:rsid w:val="000D6608"/>
    <w:rsid w:val="000F4ACE"/>
    <w:rsid w:val="0011457E"/>
    <w:rsid w:val="001213C5"/>
    <w:rsid w:val="0012141D"/>
    <w:rsid w:val="00134884"/>
    <w:rsid w:val="001348CF"/>
    <w:rsid w:val="00162493"/>
    <w:rsid w:val="00163282"/>
    <w:rsid w:val="00164E82"/>
    <w:rsid w:val="0018069E"/>
    <w:rsid w:val="001B0D12"/>
    <w:rsid w:val="001B5245"/>
    <w:rsid w:val="001D58FB"/>
    <w:rsid w:val="00230BCA"/>
    <w:rsid w:val="00232B68"/>
    <w:rsid w:val="00245677"/>
    <w:rsid w:val="00285675"/>
    <w:rsid w:val="00295505"/>
    <w:rsid w:val="00296EE7"/>
    <w:rsid w:val="002A7AA5"/>
    <w:rsid w:val="002D140A"/>
    <w:rsid w:val="002E2E5C"/>
    <w:rsid w:val="002E6E22"/>
    <w:rsid w:val="002F47F9"/>
    <w:rsid w:val="003041E5"/>
    <w:rsid w:val="00316F02"/>
    <w:rsid w:val="00335B81"/>
    <w:rsid w:val="0034555A"/>
    <w:rsid w:val="0035717E"/>
    <w:rsid w:val="003620F2"/>
    <w:rsid w:val="00377575"/>
    <w:rsid w:val="0038576F"/>
    <w:rsid w:val="003A6538"/>
    <w:rsid w:val="003D5A15"/>
    <w:rsid w:val="004053B9"/>
    <w:rsid w:val="00406B77"/>
    <w:rsid w:val="004224B3"/>
    <w:rsid w:val="0042715B"/>
    <w:rsid w:val="004547E2"/>
    <w:rsid w:val="0047316E"/>
    <w:rsid w:val="00473CDB"/>
    <w:rsid w:val="004A2FD1"/>
    <w:rsid w:val="004A6607"/>
    <w:rsid w:val="004B7448"/>
    <w:rsid w:val="004E12BA"/>
    <w:rsid w:val="004F445F"/>
    <w:rsid w:val="005348A4"/>
    <w:rsid w:val="00550325"/>
    <w:rsid w:val="005546A5"/>
    <w:rsid w:val="00556908"/>
    <w:rsid w:val="00562C95"/>
    <w:rsid w:val="005677BD"/>
    <w:rsid w:val="005858E4"/>
    <w:rsid w:val="005A6247"/>
    <w:rsid w:val="005B0384"/>
    <w:rsid w:val="005C7ACD"/>
    <w:rsid w:val="005D02E4"/>
    <w:rsid w:val="005E1A46"/>
    <w:rsid w:val="005F2DA7"/>
    <w:rsid w:val="006015A9"/>
    <w:rsid w:val="00630A9A"/>
    <w:rsid w:val="00640712"/>
    <w:rsid w:val="00645C90"/>
    <w:rsid w:val="006719D3"/>
    <w:rsid w:val="00682A77"/>
    <w:rsid w:val="006C6611"/>
    <w:rsid w:val="006E319F"/>
    <w:rsid w:val="00710472"/>
    <w:rsid w:val="007776D5"/>
    <w:rsid w:val="00796503"/>
    <w:rsid w:val="00796BF9"/>
    <w:rsid w:val="007D1E22"/>
    <w:rsid w:val="007F0129"/>
    <w:rsid w:val="008216AF"/>
    <w:rsid w:val="0083193E"/>
    <w:rsid w:val="00846A30"/>
    <w:rsid w:val="00853D34"/>
    <w:rsid w:val="00855758"/>
    <w:rsid w:val="008812A1"/>
    <w:rsid w:val="00893C6F"/>
    <w:rsid w:val="00894622"/>
    <w:rsid w:val="008951F5"/>
    <w:rsid w:val="0089656D"/>
    <w:rsid w:val="008B2A1B"/>
    <w:rsid w:val="008E0935"/>
    <w:rsid w:val="008F7BE2"/>
    <w:rsid w:val="00904A67"/>
    <w:rsid w:val="00920953"/>
    <w:rsid w:val="009256B2"/>
    <w:rsid w:val="00930342"/>
    <w:rsid w:val="00933896"/>
    <w:rsid w:val="00946888"/>
    <w:rsid w:val="00981AE3"/>
    <w:rsid w:val="00994DFB"/>
    <w:rsid w:val="009D0EC8"/>
    <w:rsid w:val="009E37C9"/>
    <w:rsid w:val="009F08C9"/>
    <w:rsid w:val="00A15E44"/>
    <w:rsid w:val="00A26658"/>
    <w:rsid w:val="00AB4DEC"/>
    <w:rsid w:val="00AB5603"/>
    <w:rsid w:val="00AC7B20"/>
    <w:rsid w:val="00AD337C"/>
    <w:rsid w:val="00B10EA1"/>
    <w:rsid w:val="00B114E2"/>
    <w:rsid w:val="00B14356"/>
    <w:rsid w:val="00B466F6"/>
    <w:rsid w:val="00B56AFF"/>
    <w:rsid w:val="00B80160"/>
    <w:rsid w:val="00B841D4"/>
    <w:rsid w:val="00B90F38"/>
    <w:rsid w:val="00BB0E3B"/>
    <w:rsid w:val="00C34A3E"/>
    <w:rsid w:val="00C36D6C"/>
    <w:rsid w:val="00C373B9"/>
    <w:rsid w:val="00C53BFF"/>
    <w:rsid w:val="00C70A21"/>
    <w:rsid w:val="00CA4C5A"/>
    <w:rsid w:val="00D02AB9"/>
    <w:rsid w:val="00D37B08"/>
    <w:rsid w:val="00DB4F42"/>
    <w:rsid w:val="00DB771F"/>
    <w:rsid w:val="00DF317F"/>
    <w:rsid w:val="00E14263"/>
    <w:rsid w:val="00E95B4D"/>
    <w:rsid w:val="00EA4C9B"/>
    <w:rsid w:val="00EC5844"/>
    <w:rsid w:val="00EE1E0E"/>
    <w:rsid w:val="00EE2320"/>
    <w:rsid w:val="00EE3981"/>
    <w:rsid w:val="00EF6564"/>
    <w:rsid w:val="00F00381"/>
    <w:rsid w:val="00F31C11"/>
    <w:rsid w:val="00F4031B"/>
    <w:rsid w:val="00F751A6"/>
    <w:rsid w:val="00F7522A"/>
    <w:rsid w:val="00F9141D"/>
    <w:rsid w:val="00F9534C"/>
    <w:rsid w:val="00FC5A99"/>
    <w:rsid w:val="00FC7346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A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IE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spacing w:after="0" w:line="240" w:lineRule="auto"/>
      <w:ind w:left="21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spacing w:after="0" w:line="240" w:lineRule="auto"/>
      <w:ind w:left="1440" w:hanging="14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spacing w:after="0" w:line="240" w:lineRule="auto"/>
      <w:ind w:left="8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spacing w:after="0" w:line="240" w:lineRule="auto"/>
      <w:ind w:left="960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CF"/>
    <w:rPr>
      <w:rFonts w:ascii="Tahoma" w:eastAsiaTheme="minorHAnsi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946888"/>
    <w:rPr>
      <w:i/>
      <w:iCs/>
    </w:rPr>
  </w:style>
  <w:style w:type="character" w:styleId="Hyperlink">
    <w:name w:val="Hyperlink"/>
    <w:basedOn w:val="DefaultParagraphFont"/>
    <w:uiPriority w:val="99"/>
    <w:unhideWhenUsed/>
    <w:rsid w:val="00C70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IE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spacing w:after="0" w:line="240" w:lineRule="auto"/>
      <w:ind w:left="21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spacing w:after="0" w:line="240" w:lineRule="auto"/>
      <w:ind w:left="1440" w:hanging="14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spacing w:after="0" w:line="240" w:lineRule="auto"/>
      <w:ind w:left="8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spacing w:after="0" w:line="240" w:lineRule="auto"/>
      <w:ind w:left="960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CF"/>
    <w:rPr>
      <w:rFonts w:ascii="Tahoma" w:eastAsiaTheme="minorHAnsi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946888"/>
    <w:rPr>
      <w:i/>
      <w:iCs/>
    </w:rPr>
  </w:style>
  <w:style w:type="character" w:styleId="Hyperlink">
    <w:name w:val="Hyperlink"/>
    <w:basedOn w:val="DefaultParagraphFont"/>
    <w:uiPriority w:val="99"/>
    <w:unhideWhenUsed/>
    <w:rsid w:val="00C70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ec.europa.eu/eurostat/web/nace-rev2/over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22de8-a3c4-44f7-809c-5aae864989b7">
      <Value>646</Value>
      <Value>6</Value>
      <Value>12</Value>
    </TaxCatchAll>
    <l0439d673390432c8f4760c5a455ac93 xmlns="f2722de8-a3c4-44f7-809c-5aae864989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Accidents ＆ Dangerous Occurences</TermName>
          <TermId xmlns="http://schemas.microsoft.com/office/infopath/2007/PartnerControls">06d44a96-dd01-4c53-83da-92ec619110e2</TermId>
        </TermInfo>
      </Terms>
    </l0439d673390432c8f4760c5a455ac93>
    <n0931430ca494154b9c352ba38783a91 xmlns="f2722de8-a3c4-44f7-809c-5aae864989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 (rpt)</TermName>
          <TermId xmlns="http://schemas.microsoft.com/office/infopath/2007/PartnerControls">1a6bc156-443a-4768-9939-a771b613ebe4</TermId>
        </TermInfo>
      </Terms>
    </n0931430ca494154b9c352ba38783a91>
    <j3dcd20625fb4e509c8810f6c12f130a xmlns="f2722de8-a3c4-44f7-809c-5aae864989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2012</TermName>
          <TermId xmlns="http://schemas.microsoft.com/office/infopath/2007/PartnerControls">b2f84528-72df-4424-9bfb-9bdc380864c7</TermId>
        </TermInfo>
      </Terms>
    </j3dcd20625fb4e509c8810f6c12f130a>
    <PublishingExpirationDate xmlns="http://schemas.microsoft.com/sharepoint/v3" xsi:nil="true"/>
    <PublishingStartDate xmlns="http://schemas.microsoft.com/sharepoint/v3" xsi:nil="true"/>
    <_dlc_DocId xmlns="f2722de8-a3c4-44f7-809c-5aae864989b7">RVSECDK7SQEP-52-34822</_dlc_DocId>
    <_dlc_DocIdUrl xmlns="f2722de8-a3c4-44f7-809c-5aae864989b7">
      <Url>http://shareflow/sites/Tech/healthservices/_layouts/DocIdRedir.aspx?ID=RVSECDK7SQEP-52-34822</Url>
      <Description>RVSECDK7SQEP-52-34822</Description>
    </_dlc_DocIdUrl>
    <_dlc_DocIdPersistId xmlns="f2722de8-a3c4-44f7-809c-5aae864989b7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SA Document" ma:contentTypeID="0x010100F1BA95422BE1A64DA19DE90A58AEB60200EEB3E7DD90A10943869768B2B0C5A386" ma:contentTypeVersion="48" ma:contentTypeDescription="HSA Document - base content type all document in ShareFlow must inherit from." ma:contentTypeScope="" ma:versionID="2c7843ebdd07a824876a024ab05861a2">
  <xsd:schema xmlns:xsd="http://www.w3.org/2001/XMLSchema" xmlns:xs="http://www.w3.org/2001/XMLSchema" xmlns:p="http://schemas.microsoft.com/office/2006/metadata/properties" xmlns:ns1="http://schemas.microsoft.com/sharepoint/v3" xmlns:ns2="f2722de8-a3c4-44f7-809c-5aae864989b7" targetNamespace="http://schemas.microsoft.com/office/2006/metadata/properties" ma:root="true" ma:fieldsID="92167ae3fe61d33d4fe2b22ff8e27c6f" ns1:_="" ns2:_="">
    <xsd:import namespace="http://schemas.microsoft.com/sharepoint/v3"/>
    <xsd:import namespace="f2722de8-a3c4-44f7-809c-5aae864989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0439d673390432c8f4760c5a455ac93" minOccurs="0"/>
                <xsd:element ref="ns2:TaxCatchAll" minOccurs="0"/>
                <xsd:element ref="ns2:TaxCatchAllLabel" minOccurs="0"/>
                <xsd:element ref="ns2:n0931430ca494154b9c352ba38783a91" minOccurs="0"/>
                <xsd:element ref="ns2:j3dcd20625fb4e509c8810f6c12f130a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0" nillable="true" ma:displayName="Scheduling End Date" ma:internalName="PublishingExpirationDate">
      <xsd:simpleType>
        <xsd:restriction base="dms:Unknown"/>
      </xsd:simpleType>
    </xsd:element>
    <xsd:element name="PublishingStartDate" ma:index="21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22de8-a3c4-44f7-809c-5aae864989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0439d673390432c8f4760c5a455ac93" ma:index="11" ma:taxonomy="true" ma:internalName="l0439d673390432c8f4760c5a455ac93" ma:taxonomyFieldName="Classification_x0020_Scheme" ma:displayName="Classification Scheme" ma:indexed="true" ma:default="" ma:fieldId="{50439d67-3390-432c-8f47-60c5a455ac93}" ma:sspId="1d7cc777-1957-431e-8bcf-ecabe01d98d4" ma:termSetId="9b95482a-f11c-471e-9c32-a86f81c894e6" ma:anchorId="04b25f43-9254-453b-acc7-a917c06ff60b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a674565b-251d-49f1-bba0-58784c551697}" ma:internalName="TaxCatchAll" ma:showField="CatchAllData" ma:web="f2722de8-a3c4-44f7-809c-5aae86498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a674565b-251d-49f1-bba0-58784c551697}" ma:internalName="TaxCatchAllLabel" ma:readOnly="true" ma:showField="CatchAllDataLabel" ma:web="f2722de8-a3c4-44f7-809c-5aae86498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931430ca494154b9c352ba38783a91" ma:index="16" ma:taxonomy="true" ma:internalName="n0931430ca494154b9c352ba38783a91" ma:taxonomyFieldName="Record_x0020_Type" ma:displayName="Record Type" ma:indexed="true" ma:default="" ma:fieldId="{70931430-ca49-4154-b9c3-52ba38783a91}" ma:sspId="1d7cc777-1957-431e-8bcf-ecabe01d98d4" ma:termSetId="09d66c77-7bd2-4ff3-b4ba-fcee43436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cd20625fb4e509c8810f6c12f130a" ma:index="18" nillable="true" ma:taxonomy="true" ma:internalName="j3dcd20625fb4e509c8810f6c12f130a" ma:taxonomyFieldName="Year" ma:displayName="Year" ma:indexed="true" ma:default="1453;#2016|7e045680-984c-4682-9524-b9cdda8babbd" ma:fieldId="{33dcd206-25fb-4e50-9c88-10f6c12f130a}" ma:sspId="1d7cc777-1957-431e-8bcf-ecabe01d98d4" ma:termSetId="2cffe675-3845-4e8d-9e8d-ef5ead1e2f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8658-AFE6-4767-8197-79D9C14CCCE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A2BCE0E-8B4E-49BB-A215-4791191AD543}">
  <ds:schemaRefs>
    <ds:schemaRef ds:uri="http://schemas.microsoft.com/office/2006/metadata/properties"/>
    <ds:schemaRef ds:uri="http://schemas.microsoft.com/office/infopath/2007/PartnerControls"/>
    <ds:schemaRef ds:uri="f2722de8-a3c4-44f7-809c-5aae864989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8FE35F-8FCC-43AF-986B-33D93DD94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127DE-B6E9-4921-9500-3411E86013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5388FB-177C-4314-9963-0FB7C4FF7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22de8-a3c4-44f7-809c-5aae86498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D61D22-D53C-4057-97B1-CD930922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2011naceqstatsforweb</vt:lpstr>
    </vt:vector>
  </TitlesOfParts>
  <Company>Health &amp; safety Auth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2011naceqstatsforweb</dc:title>
  <dc:creator>amoc</dc:creator>
  <cp:lastModifiedBy>Thomas Doyle</cp:lastModifiedBy>
  <cp:revision>2</cp:revision>
  <cp:lastPrinted>2016-02-18T14:06:00Z</cp:lastPrinted>
  <dcterms:created xsi:type="dcterms:W3CDTF">2017-02-14T16:26:00Z</dcterms:created>
  <dcterms:modified xsi:type="dcterms:W3CDTF">2017-02-14T16:26:00Z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0x010100F1BA95422BE1A64DA19DE90A58AEB60200EEB3E7DD90A10943869768B2B0C5A386</vt:lpwstr>
  </property>
  <property fmtid="{D5CDD505-2E9C-101B-9397-08002B2CF9AE}" pid="3" name="_dlc_DocIdItemGuid">
    <vt:lpwstr>f1b3c0e5-6c49-4d56-bba9-473c2955091f</vt:lpwstr>
  </property>
  <property fmtid="{D5CDD505-2E9C-101B-9397-08002B2CF9AE}" pid="4" name="Year">
    <vt:lpwstr>6;#2012|b2f84528-72df-4424-9bfb-9bdc380864c7</vt:lpwstr>
  </property>
  <property fmtid="{D5CDD505-2E9C-101B-9397-08002B2CF9AE}" pid="5" name="Record Type">
    <vt:lpwstr>12;#Report (rpt)|1a6bc156-443a-4768-9939-a771b613ebe4</vt:lpwstr>
  </property>
  <property fmtid="{D5CDD505-2E9C-101B-9397-08002B2CF9AE}" pid="6" name="Classification Scheme">
    <vt:lpwstr>646;#Accidents ＆ Dangerous Occurences|06d44a96-dd01-4c53-83da-92ec619110e2</vt:lpwstr>
  </property>
  <property fmtid="{D5CDD505-2E9C-101B-9397-08002B2CF9AE}" pid="7" name="Title">
    <vt:lpwstr>2011naceqstatsforweb</vt:lpwstr>
  </property>
  <property fmtid="{D5CDD505-2E9C-101B-9397-08002B2CF9AE}" pid="8" name="TaxCatchAll">
    <vt:lpwstr/>
  </property>
  <property fmtid="{D5CDD505-2E9C-101B-9397-08002B2CF9AE}" pid="9" name="l0439d673390432c8f4760c5a455ac93">
    <vt:lpwstr>Accidents ＆ Dangerous Occurences|06d44a96-dd01-4c53-83da-92ec619110e2</vt:lpwstr>
  </property>
  <property fmtid="{D5CDD505-2E9C-101B-9397-08002B2CF9AE}" pid="10" name="Date1">
    <vt:filetime>2013-06-25T00:00:00Z</vt:filetime>
  </property>
  <property fmtid="{D5CDD505-2E9C-101B-9397-08002B2CF9AE}" pid="11" name="_Author">
    <vt:lpwstr>amoc</vt:lpwstr>
  </property>
  <property fmtid="{D5CDD505-2E9C-101B-9397-08002B2CF9AE}" pid="12" name="n0931430ca494154b9c352ba38783a91">
    <vt:lpwstr>Report (rpt)|1a6bc156-443a-4768-9939-a771b613ebe4</vt:lpwstr>
  </property>
  <property fmtid="{D5CDD505-2E9C-101B-9397-08002B2CF9AE}" pid="13" name="j3dcd20625fb4e509c8810f6c12f130a">
    <vt:lpwstr>2012|b2f84528-72df-4424-9bfb-9bdc380864c7</vt:lpwstr>
  </property>
  <property fmtid="{D5CDD505-2E9C-101B-9397-08002B2CF9AE}" pid="14" name="PublishingExpirationDate">
    <vt:lpwstr/>
  </property>
  <property fmtid="{D5CDD505-2E9C-101B-9397-08002B2CF9AE}" pid="15" name="PublishingStartDate">
    <vt:lpwstr/>
  </property>
  <property fmtid="{D5CDD505-2E9C-101B-9397-08002B2CF9AE}" pid="16" name="mvSensitivity">
    <vt:lpwstr/>
  </property>
  <property fmtid="{D5CDD505-2E9C-101B-9397-08002B2CF9AE}" pid="17" name="URL">
    <vt:lpwstr/>
  </property>
  <property fmtid="{D5CDD505-2E9C-101B-9397-08002B2CF9AE}" pid="18" name="Requested By">
    <vt:lpwstr/>
  </property>
  <property fmtid="{D5CDD505-2E9C-101B-9397-08002B2CF9AE}" pid="19" name="Nature">
    <vt:lpwstr/>
  </property>
  <property fmtid="{D5CDD505-2E9C-101B-9397-08002B2CF9AE}" pid="20" name="Employee Name">
    <vt:lpwstr/>
  </property>
  <property fmtid="{D5CDD505-2E9C-101B-9397-08002B2CF9AE}" pid="21" name="xd_Signature">
    <vt:bool>false</vt:bool>
  </property>
  <property fmtid="{D5CDD505-2E9C-101B-9397-08002B2CF9AE}" pid="22" name="mvFrom">
    <vt:lpwstr/>
  </property>
  <property fmtid="{D5CDD505-2E9C-101B-9397-08002B2CF9AE}" pid="23" name="xd_ProgID">
    <vt:lpwstr/>
  </property>
  <property fmtid="{D5CDD505-2E9C-101B-9397-08002B2CF9AE}" pid="24" name="Location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mvBCC">
    <vt:lpwstr/>
  </property>
  <property fmtid="{D5CDD505-2E9C-101B-9397-08002B2CF9AE}" pid="28" name="Company">
    <vt:lpwstr/>
  </property>
  <property fmtid="{D5CDD505-2E9C-101B-9397-08002B2CF9AE}" pid="29" name="mvAttach Count">
    <vt:lpwstr/>
  </property>
  <property fmtid="{D5CDD505-2E9C-101B-9397-08002B2CF9AE}" pid="30" name="mvCC">
    <vt:lpwstr/>
  </property>
  <property fmtid="{D5CDD505-2E9C-101B-9397-08002B2CF9AE}" pid="31" name="mvImportance">
    <vt:lpwstr/>
  </property>
  <property fmtid="{D5CDD505-2E9C-101B-9397-08002B2CF9AE}" pid="32" name="TemplateUrl">
    <vt:lpwstr/>
  </property>
  <property fmtid="{D5CDD505-2E9C-101B-9397-08002B2CF9AE}" pid="33" name="mvTo">
    <vt:lpwstr/>
  </property>
  <property fmtid="{D5CDD505-2E9C-101B-9397-08002B2CF9AE}" pid="34" name="mvConversationTopic">
    <vt:lpwstr/>
  </property>
  <property fmtid="{D5CDD505-2E9C-101B-9397-08002B2CF9AE}" pid="35" name="mvMessageID">
    <vt:lpwstr/>
  </property>
  <property fmtid="{D5CDD505-2E9C-101B-9397-08002B2CF9AE}" pid="36" name="mvOriginal Author">
    <vt:lpwstr/>
  </property>
  <property fmtid="{D5CDD505-2E9C-101B-9397-08002B2CF9AE}" pid="37" name="mvOriginal Producer">
    <vt:lpwstr/>
  </property>
</Properties>
</file>